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Default Extension="ppt" ContentType="application/vnd.ms-powerpoi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E08" w:rsidRPr="00FE338A" w:rsidRDefault="00BF0E08" w:rsidP="00BF0E08">
      <w:pPr>
        <w:rPr>
          <w:rFonts w:asciiTheme="minorHAnsi" w:hAnsiTheme="minorHAnsi" w:cstheme="minorBidi"/>
          <w:color w:val="000000" w:themeColor="text1"/>
        </w:rPr>
      </w:pPr>
      <w:proofErr w:type="gramStart"/>
      <w:r w:rsidRPr="00FE338A">
        <w:rPr>
          <w:rFonts w:asciiTheme="minorHAnsi" w:hAnsiTheme="minorHAnsi" w:cstheme="minorBidi"/>
          <w:color w:val="000000" w:themeColor="text1"/>
        </w:rPr>
        <w:t>Frank, K.A., Maroulis, S., Duong, M., and Kelcey, B.</w:t>
      </w:r>
      <w:proofErr w:type="gramEnd"/>
      <w:r w:rsidRPr="00FE338A">
        <w:rPr>
          <w:rFonts w:asciiTheme="minorHAnsi" w:hAnsiTheme="minorHAnsi" w:cstheme="minorBidi"/>
          <w:color w:val="000000" w:themeColor="text1"/>
        </w:rPr>
        <w:t xml:space="preserve"> What Would It Take to Change an Inference? </w:t>
      </w:r>
      <w:proofErr w:type="gramStart"/>
      <w:r w:rsidRPr="00FE338A">
        <w:rPr>
          <w:rFonts w:asciiTheme="minorHAnsi" w:hAnsiTheme="minorHAnsi" w:cstheme="minorBidi"/>
          <w:color w:val="000000" w:themeColor="text1"/>
        </w:rPr>
        <w:t>Using Rubin’s Causal Model to Interpret the Robustness of Causal Inferences.</w:t>
      </w:r>
      <w:proofErr w:type="gramEnd"/>
      <w:r w:rsidRPr="00FE338A">
        <w:rPr>
          <w:rFonts w:asciiTheme="minorHAnsi" w:hAnsiTheme="minorHAnsi" w:cstheme="minorBidi"/>
          <w:color w:val="000000" w:themeColor="text1"/>
        </w:rPr>
        <w:t xml:space="preserve"> </w:t>
      </w:r>
      <w:r w:rsidRPr="00FE338A">
        <w:rPr>
          <w:rFonts w:asciiTheme="minorHAnsi" w:hAnsiTheme="minorHAnsi" w:cstheme="minorBidi"/>
          <w:i/>
          <w:iCs/>
          <w:color w:val="000000" w:themeColor="text1"/>
        </w:rPr>
        <w:t>Educational Evaluation and Policy Analysis</w:t>
      </w:r>
      <w:r>
        <w:rPr>
          <w:rFonts w:asciiTheme="minorHAnsi" w:hAnsiTheme="minorHAnsi" w:cstheme="minorBidi"/>
          <w:color w:val="000000" w:themeColor="text1"/>
        </w:rPr>
        <w:t xml:space="preserve">, </w:t>
      </w:r>
      <w:proofErr w:type="spellStart"/>
      <w:r w:rsidRPr="005441E2">
        <w:rPr>
          <w:rStyle w:val="apple-converted-space"/>
          <w:color w:val="222222"/>
          <w:bdr w:val="none" w:sz="0" w:space="0" w:color="auto" w:frame="1"/>
          <w:shd w:val="clear" w:color="auto" w:fill="FFFFFF"/>
        </w:rPr>
        <w:t>Vol</w:t>
      </w:r>
      <w:proofErr w:type="spellEnd"/>
      <w:r w:rsidRPr="005441E2">
        <w:rPr>
          <w:rStyle w:val="apple-converted-space"/>
          <w:color w:val="222222"/>
          <w:bdr w:val="none" w:sz="0" w:space="0" w:color="auto" w:frame="1"/>
          <w:shd w:val="clear" w:color="auto" w:fill="FFFFFF"/>
        </w:rPr>
        <w:t xml:space="preserve"> </w:t>
      </w:r>
      <w:r w:rsidRPr="005441E2">
        <w:rPr>
          <w:rStyle w:val="cit-vol"/>
          <w:color w:val="222222"/>
          <w:bdr w:val="none" w:sz="0" w:space="0" w:color="auto" w:frame="1"/>
          <w:shd w:val="clear" w:color="auto" w:fill="FFFFFF"/>
        </w:rPr>
        <w:t>35</w:t>
      </w:r>
      <w:r w:rsidRPr="005441E2">
        <w:rPr>
          <w:rStyle w:val="cit-sep"/>
          <w:color w:val="222222"/>
          <w:bdr w:val="none" w:sz="0" w:space="0" w:color="auto" w:frame="1"/>
          <w:shd w:val="clear" w:color="auto" w:fill="FFFFFF"/>
        </w:rPr>
        <w:t>:</w:t>
      </w:r>
      <w:r w:rsidRPr="005441E2">
        <w:rPr>
          <w:rStyle w:val="apple-converted-space"/>
          <w:color w:val="222222"/>
          <w:bdr w:val="none" w:sz="0" w:space="0" w:color="auto" w:frame="1"/>
          <w:shd w:val="clear" w:color="auto" w:fill="FFFFFF"/>
        </w:rPr>
        <w:t> </w:t>
      </w:r>
      <w:r w:rsidRPr="005441E2">
        <w:rPr>
          <w:rStyle w:val="cit-first-page"/>
          <w:color w:val="222222"/>
          <w:bdr w:val="none" w:sz="0" w:space="0" w:color="auto" w:frame="1"/>
          <w:shd w:val="clear" w:color="auto" w:fill="FFFFFF"/>
        </w:rPr>
        <w:t>437</w:t>
      </w:r>
      <w:r w:rsidRPr="005441E2">
        <w:rPr>
          <w:rStyle w:val="cit-sep"/>
          <w:color w:val="222222"/>
          <w:bdr w:val="none" w:sz="0" w:space="0" w:color="auto" w:frame="1"/>
          <w:shd w:val="clear" w:color="auto" w:fill="FFFFFF"/>
        </w:rPr>
        <w:t>-</w:t>
      </w:r>
      <w:r w:rsidRPr="005441E2">
        <w:rPr>
          <w:rStyle w:val="cit-last-page"/>
          <w:color w:val="222222"/>
          <w:bdr w:val="none" w:sz="0" w:space="0" w:color="auto" w:frame="1"/>
          <w:shd w:val="clear" w:color="auto" w:fill="FFFFFF"/>
        </w:rPr>
        <w:t>460</w:t>
      </w:r>
      <w:r>
        <w:rPr>
          <w:rStyle w:val="cit-last-page"/>
          <w:color w:val="222222"/>
          <w:bdr w:val="none" w:sz="0" w:space="0" w:color="auto" w:frame="1"/>
          <w:shd w:val="clear" w:color="auto" w:fill="FFFFFF"/>
        </w:rPr>
        <w:t xml:space="preserve">. </w:t>
      </w:r>
      <w:r w:rsidRPr="00FE338A">
        <w:rPr>
          <w:rFonts w:asciiTheme="minorHAnsi" w:hAnsiTheme="minorHAnsi" w:cstheme="minorBidi"/>
          <w:color w:val="000000" w:themeColor="text1"/>
        </w:rPr>
        <w:t>0162373713493129, first published on July 30, 2013 as doi</w:t>
      </w:r>
      <w:proofErr w:type="gramStart"/>
      <w:r w:rsidRPr="00FE338A">
        <w:rPr>
          <w:rFonts w:asciiTheme="minorHAnsi" w:hAnsiTheme="minorHAnsi" w:cstheme="minorBidi"/>
          <w:color w:val="000000" w:themeColor="text1"/>
        </w:rPr>
        <w:t>:10.3102</w:t>
      </w:r>
      <w:proofErr w:type="gramEnd"/>
      <w:r w:rsidRPr="00FE338A">
        <w:rPr>
          <w:rFonts w:asciiTheme="minorHAnsi" w:hAnsiTheme="minorHAnsi" w:cstheme="minorBidi"/>
          <w:color w:val="000000" w:themeColor="text1"/>
        </w:rPr>
        <w:t>/0162373713493129</w:t>
      </w:r>
      <w:r>
        <w:rPr>
          <w:rFonts w:asciiTheme="minorHAnsi" w:hAnsiTheme="minorHAnsi" w:cstheme="minorBidi"/>
          <w:color w:val="000000" w:themeColor="text1"/>
        </w:rPr>
        <w:t>.</w:t>
      </w:r>
    </w:p>
    <w:p w:rsidR="005238EA" w:rsidRDefault="005238EA" w:rsidP="005238EA">
      <w:pPr>
        <w:ind w:firstLine="360"/>
        <w:jc w:val="center"/>
        <w:rPr>
          <w:lang w:eastAsia="zh-CN"/>
        </w:rPr>
      </w:pPr>
    </w:p>
    <w:p w:rsidR="005238EA" w:rsidRDefault="005238EA" w:rsidP="005238EA">
      <w:pPr>
        <w:ind w:firstLine="360"/>
        <w:jc w:val="center"/>
        <w:rPr>
          <w:lang w:eastAsia="zh-CN"/>
        </w:rPr>
      </w:pPr>
    </w:p>
    <w:p w:rsidR="005238EA" w:rsidRDefault="005238EA" w:rsidP="005238EA">
      <w:pPr>
        <w:ind w:firstLine="360"/>
        <w:jc w:val="center"/>
        <w:rPr>
          <w:lang w:eastAsia="zh-CN"/>
        </w:rPr>
      </w:pPr>
    </w:p>
    <w:p w:rsidR="005238EA" w:rsidRDefault="005238EA" w:rsidP="005238EA">
      <w:pPr>
        <w:ind w:firstLine="360"/>
        <w:jc w:val="center"/>
        <w:rPr>
          <w:lang w:eastAsia="zh-CN"/>
        </w:rPr>
      </w:pPr>
    </w:p>
    <w:p w:rsidR="005238EA" w:rsidRDefault="005238EA" w:rsidP="005238EA">
      <w:pPr>
        <w:ind w:firstLine="360"/>
        <w:jc w:val="center"/>
        <w:rPr>
          <w:lang w:eastAsia="zh-CN"/>
        </w:rPr>
      </w:pPr>
    </w:p>
    <w:p w:rsidR="005238EA" w:rsidRDefault="005238EA" w:rsidP="005238EA">
      <w:pPr>
        <w:ind w:firstLine="360"/>
        <w:jc w:val="center"/>
        <w:rPr>
          <w:lang w:eastAsia="zh-CN"/>
        </w:rPr>
      </w:pPr>
      <w:r>
        <w:rPr>
          <w:lang w:eastAsia="zh-CN"/>
        </w:rPr>
        <w:t>What would it take to Change an Inference</w:t>
      </w:r>
      <w:proofErr w:type="gramStart"/>
      <w:r>
        <w:rPr>
          <w:lang w:eastAsia="zh-CN"/>
        </w:rPr>
        <w:t>?:</w:t>
      </w:r>
      <w:proofErr w:type="gramEnd"/>
      <w:r>
        <w:rPr>
          <w:lang w:eastAsia="zh-CN"/>
        </w:rPr>
        <w:t xml:space="preserve"> </w:t>
      </w:r>
    </w:p>
    <w:p w:rsidR="005238EA" w:rsidRDefault="005238EA" w:rsidP="005238EA">
      <w:pPr>
        <w:ind w:firstLine="360"/>
        <w:jc w:val="center"/>
        <w:rPr>
          <w:lang w:eastAsia="zh-CN"/>
        </w:rPr>
      </w:pPr>
      <w:r>
        <w:rPr>
          <w:lang w:eastAsia="zh-CN"/>
        </w:rPr>
        <w:t xml:space="preserve">Using Rubin’s Causal Model to Interpret the Robustness of Causal Inferences </w:t>
      </w:r>
    </w:p>
    <w:p w:rsidR="005238EA" w:rsidRDefault="005238EA" w:rsidP="005238EA">
      <w:pPr>
        <w:ind w:firstLine="360"/>
        <w:jc w:val="center"/>
      </w:pPr>
    </w:p>
    <w:p w:rsidR="005238EA" w:rsidRDefault="005238EA" w:rsidP="005238EA">
      <w:pPr>
        <w:ind w:firstLine="360"/>
        <w:jc w:val="center"/>
      </w:pPr>
    </w:p>
    <w:p w:rsidR="005238EA" w:rsidRDefault="005238EA" w:rsidP="005238EA">
      <w:pPr>
        <w:ind w:firstLine="360"/>
        <w:jc w:val="center"/>
        <w:rPr>
          <w:lang w:eastAsia="zh-CN"/>
        </w:rPr>
      </w:pPr>
    </w:p>
    <w:p w:rsidR="005238EA" w:rsidRDefault="005238EA" w:rsidP="005238EA">
      <w:pPr>
        <w:ind w:firstLine="360"/>
        <w:jc w:val="center"/>
        <w:rPr>
          <w:rFonts w:eastAsia="@PMingLiU"/>
          <w:lang w:val="de-DE"/>
        </w:rPr>
      </w:pPr>
      <w:r>
        <w:rPr>
          <w:rFonts w:eastAsia="@PMingLiU"/>
          <w:lang w:val="de-DE"/>
        </w:rPr>
        <w:t>Kenneth A. Frank</w:t>
      </w:r>
    </w:p>
    <w:p w:rsidR="005238EA" w:rsidRDefault="005238EA" w:rsidP="005238EA">
      <w:pPr>
        <w:ind w:firstLine="360"/>
        <w:jc w:val="center"/>
        <w:rPr>
          <w:rFonts w:eastAsia="@PMingLiU"/>
        </w:rPr>
      </w:pPr>
      <w:r>
        <w:rPr>
          <w:rFonts w:eastAsia="@PMingLiU"/>
        </w:rPr>
        <w:t>Michigan State University</w:t>
      </w:r>
    </w:p>
    <w:p w:rsidR="005238EA" w:rsidRDefault="005238EA" w:rsidP="005238EA">
      <w:pPr>
        <w:ind w:firstLine="360"/>
        <w:jc w:val="center"/>
        <w:rPr>
          <w:rFonts w:eastAsia="@PMingLiU"/>
        </w:rPr>
      </w:pPr>
    </w:p>
    <w:p w:rsidR="005238EA" w:rsidRDefault="005238EA" w:rsidP="005238EA">
      <w:pPr>
        <w:ind w:firstLine="360"/>
        <w:jc w:val="center"/>
        <w:rPr>
          <w:rFonts w:eastAsia="@PMingLiU"/>
        </w:rPr>
      </w:pPr>
      <w:r>
        <w:rPr>
          <w:rFonts w:eastAsia="@PMingLiU"/>
        </w:rPr>
        <w:t>Spiro Maroulis</w:t>
      </w:r>
    </w:p>
    <w:p w:rsidR="005238EA" w:rsidRDefault="005238EA" w:rsidP="005238EA">
      <w:pPr>
        <w:ind w:firstLine="360"/>
        <w:jc w:val="center"/>
        <w:rPr>
          <w:rFonts w:eastAsia="@PMingLiU"/>
        </w:rPr>
      </w:pPr>
      <w:r>
        <w:rPr>
          <w:rFonts w:eastAsia="@PMingLiU"/>
        </w:rPr>
        <w:t>Arizona State University</w:t>
      </w:r>
    </w:p>
    <w:p w:rsidR="005238EA" w:rsidRDefault="005238EA" w:rsidP="005238EA">
      <w:pPr>
        <w:ind w:firstLine="360"/>
        <w:jc w:val="center"/>
        <w:rPr>
          <w:rFonts w:eastAsia="@PMingLiU"/>
        </w:rPr>
      </w:pPr>
    </w:p>
    <w:p w:rsidR="005238EA" w:rsidRPr="00A63850" w:rsidRDefault="005238EA" w:rsidP="005238EA">
      <w:pPr>
        <w:ind w:firstLine="360"/>
        <w:jc w:val="center"/>
        <w:rPr>
          <w:rFonts w:eastAsia="@PMingLiU"/>
        </w:rPr>
      </w:pPr>
      <w:r w:rsidRPr="00A63850">
        <w:rPr>
          <w:rFonts w:eastAsia="@PMingLiU"/>
        </w:rPr>
        <w:t>Minh Q. Duong</w:t>
      </w:r>
    </w:p>
    <w:p w:rsidR="005238EA" w:rsidRPr="00A63850" w:rsidRDefault="005238EA" w:rsidP="005238EA">
      <w:pPr>
        <w:jc w:val="center"/>
        <w:rPr>
          <w:color w:val="000000"/>
        </w:rPr>
      </w:pPr>
      <w:r w:rsidRPr="00A63850">
        <w:rPr>
          <w:color w:val="000000"/>
        </w:rPr>
        <w:t>Pacific Metrics Corporation</w:t>
      </w:r>
    </w:p>
    <w:p w:rsidR="005238EA" w:rsidRDefault="005238EA" w:rsidP="005238EA">
      <w:pPr>
        <w:ind w:firstLine="360"/>
        <w:jc w:val="center"/>
        <w:rPr>
          <w:rFonts w:eastAsia="@PMingLiU"/>
        </w:rPr>
      </w:pPr>
    </w:p>
    <w:p w:rsidR="005238EA" w:rsidRDefault="005238EA" w:rsidP="005238EA">
      <w:pPr>
        <w:ind w:firstLine="360"/>
        <w:jc w:val="center"/>
        <w:rPr>
          <w:rFonts w:eastAsia="@PMingLiU"/>
        </w:rPr>
      </w:pPr>
      <w:r>
        <w:rPr>
          <w:rFonts w:eastAsia="@PMingLiU"/>
        </w:rPr>
        <w:t>Benjamin Kelcey</w:t>
      </w:r>
    </w:p>
    <w:p w:rsidR="005238EA" w:rsidRDefault="00FE338A" w:rsidP="005238EA">
      <w:pPr>
        <w:ind w:firstLine="360"/>
        <w:jc w:val="center"/>
        <w:rPr>
          <w:rFonts w:eastAsia="@PMingLiU"/>
        </w:rPr>
      </w:pPr>
      <w:r>
        <w:rPr>
          <w:rFonts w:eastAsia="@PMingLiU"/>
        </w:rPr>
        <w:t xml:space="preserve">University of Cincinnati </w:t>
      </w:r>
      <w:r w:rsidR="005238EA">
        <w:rPr>
          <w:rFonts w:eastAsia="@PMingLiU"/>
        </w:rPr>
        <w:t>State University</w:t>
      </w:r>
    </w:p>
    <w:p w:rsidR="005238EA" w:rsidRDefault="005238EA" w:rsidP="005238EA">
      <w:pPr>
        <w:ind w:firstLine="360"/>
        <w:jc w:val="center"/>
        <w:rPr>
          <w:rFonts w:eastAsia="@PMingLiU"/>
        </w:rPr>
      </w:pPr>
    </w:p>
    <w:p w:rsidR="005238EA" w:rsidRDefault="005238EA" w:rsidP="005238EA">
      <w:pPr>
        <w:ind w:firstLine="360"/>
        <w:jc w:val="center"/>
        <w:rPr>
          <w:rFonts w:eastAsia="@PMingLiU"/>
        </w:rPr>
      </w:pPr>
      <w:r>
        <w:rPr>
          <w:rFonts w:eastAsia="@PMingLiU"/>
        </w:rPr>
        <w:t>2013</w:t>
      </w:r>
    </w:p>
    <w:p w:rsidR="00E204AF" w:rsidRDefault="00E204AF" w:rsidP="005A7866">
      <w:pPr>
        <w:pStyle w:val="NormalWeb"/>
        <w:spacing w:before="0" w:beforeAutospacing="0" w:after="0" w:afterAutospacing="0"/>
        <w:ind w:left="547" w:hanging="547"/>
        <w:textAlignment w:val="baseline"/>
        <w:rPr>
          <w:lang w:eastAsia="zh-CN"/>
        </w:rPr>
      </w:pPr>
      <w:r>
        <w:rPr>
          <w:lang w:eastAsia="zh-CN"/>
        </w:rPr>
        <w:br w:type="page"/>
      </w:r>
      <w:r w:rsidR="005A7866">
        <w:rPr>
          <w:lang w:eastAsia="zh-CN"/>
        </w:rPr>
        <w:lastRenderedPageBreak/>
        <w:t xml:space="preserve"> </w:t>
      </w:r>
    </w:p>
    <w:p w:rsidR="0080502D" w:rsidRDefault="0080502D" w:rsidP="0080502D">
      <w:pPr>
        <w:ind w:firstLine="360"/>
        <w:jc w:val="center"/>
        <w:rPr>
          <w:lang w:eastAsia="zh-CN"/>
        </w:rPr>
      </w:pPr>
      <w:r>
        <w:rPr>
          <w:lang w:eastAsia="zh-CN"/>
        </w:rPr>
        <w:t>What would it take to Change an Inference</w:t>
      </w:r>
      <w:proofErr w:type="gramStart"/>
      <w:r>
        <w:rPr>
          <w:lang w:eastAsia="zh-CN"/>
        </w:rPr>
        <w:t>?:</w:t>
      </w:r>
      <w:proofErr w:type="gramEnd"/>
      <w:r>
        <w:rPr>
          <w:lang w:eastAsia="zh-CN"/>
        </w:rPr>
        <w:t xml:space="preserve"> </w:t>
      </w:r>
    </w:p>
    <w:p w:rsidR="0080502D" w:rsidRDefault="0080502D" w:rsidP="0080502D">
      <w:pPr>
        <w:ind w:firstLine="360"/>
        <w:jc w:val="center"/>
        <w:rPr>
          <w:lang w:eastAsia="zh-CN"/>
        </w:rPr>
      </w:pPr>
      <w:r>
        <w:rPr>
          <w:lang w:eastAsia="zh-CN"/>
        </w:rPr>
        <w:t xml:space="preserve">Using Rubin’s Causal Model to Interpret the Robustness of Causal Inferences </w:t>
      </w:r>
    </w:p>
    <w:p w:rsidR="00222B9D" w:rsidRDefault="00222B9D">
      <w:pPr>
        <w:widowControl w:val="0"/>
        <w:autoSpaceDE w:val="0"/>
        <w:autoSpaceDN w:val="0"/>
        <w:adjustRightInd w:val="0"/>
        <w:spacing w:line="480" w:lineRule="auto"/>
        <w:jc w:val="center"/>
        <w:rPr>
          <w:rFonts w:eastAsia="@PMingLiU"/>
        </w:rPr>
      </w:pPr>
    </w:p>
    <w:p w:rsidR="00222B9D" w:rsidRDefault="00222B9D">
      <w:pPr>
        <w:widowControl w:val="0"/>
        <w:autoSpaceDE w:val="0"/>
        <w:autoSpaceDN w:val="0"/>
        <w:adjustRightInd w:val="0"/>
        <w:spacing w:line="480" w:lineRule="auto"/>
        <w:jc w:val="center"/>
        <w:rPr>
          <w:rFonts w:eastAsia="@PMingLiU"/>
        </w:rPr>
      </w:pPr>
      <w:r>
        <w:rPr>
          <w:rFonts w:eastAsia="@PMingLiU"/>
        </w:rPr>
        <w:t>Abstract</w:t>
      </w:r>
    </w:p>
    <w:p w:rsidR="00CB7B14" w:rsidRDefault="00ED53B2" w:rsidP="00CB7B14">
      <w:pPr>
        <w:spacing w:line="480" w:lineRule="auto"/>
        <w:ind w:firstLine="720"/>
        <w:rPr>
          <w:rFonts w:eastAsia="@PMingLiU"/>
        </w:rPr>
      </w:pPr>
      <w:r>
        <w:t xml:space="preserve">We contribute to debate about causal </w:t>
      </w:r>
      <w:r w:rsidR="001E72E6" w:rsidRPr="004B1266">
        <w:t xml:space="preserve">inferences </w:t>
      </w:r>
      <w:r w:rsidR="001E72E6">
        <w:t xml:space="preserve">in educational research </w:t>
      </w:r>
      <w:r w:rsidR="00BC74B6">
        <w:t xml:space="preserve">in two ways.  First, we </w:t>
      </w:r>
      <w:r w:rsidR="001E72E6" w:rsidRPr="004B1266">
        <w:t xml:space="preserve">quantify </w:t>
      </w:r>
      <w:r w:rsidR="00423CA1">
        <w:t>how much bias there must be in an estimate to invalidate an inference</w:t>
      </w:r>
      <w:r w:rsidR="001E72E6">
        <w:t xml:space="preserve">.  </w:t>
      </w:r>
      <w:r w:rsidR="00BC74B6">
        <w:t>Second, w</w:t>
      </w:r>
      <w:r w:rsidR="001E72E6">
        <w:t xml:space="preserve">e utilize Rubin’s causal model (RCM) to interpret the bias necessary to invalidate an inference </w:t>
      </w:r>
      <w:r w:rsidR="003F4B30">
        <w:t>in terms of sample replacement</w:t>
      </w:r>
      <w:r w:rsidR="001E72E6">
        <w:t>. We apply our analysis to an inference of a</w:t>
      </w:r>
      <w:r w:rsidR="00B24A77">
        <w:t xml:space="preserve"> positive</w:t>
      </w:r>
      <w:r w:rsidR="001E72E6">
        <w:t xml:space="preserve"> effect of </w:t>
      </w:r>
      <w:r w:rsidR="001E72E6" w:rsidRPr="004B1266">
        <w:t>Open Court Curriculum on reading achievement</w:t>
      </w:r>
      <w:r w:rsidR="001E72E6">
        <w:t xml:space="preserve"> from a randomized experiment, and an </w:t>
      </w:r>
      <w:r w:rsidR="001E72E6" w:rsidRPr="004B1266">
        <w:t xml:space="preserve">inference of a negative effect of kindergarten retention on </w:t>
      </w:r>
      <w:r w:rsidR="00BC74B6">
        <w:t xml:space="preserve">reading </w:t>
      </w:r>
      <w:r w:rsidR="001E72E6" w:rsidRPr="004B1266">
        <w:t>achievement</w:t>
      </w:r>
      <w:r w:rsidR="001E72E6">
        <w:t xml:space="preserve"> from an observational study. </w:t>
      </w:r>
      <w:r w:rsidR="00CB7B14">
        <w:t xml:space="preserve">We consider </w:t>
      </w:r>
      <w:r w:rsidR="00B24A77">
        <w:t xml:space="preserve">details of our framework, </w:t>
      </w:r>
      <w:r w:rsidR="00CB7B14">
        <w:t>and then</w:t>
      </w:r>
      <w:r w:rsidR="00CB7B14">
        <w:rPr>
          <w:rFonts w:eastAsia="@PMingLiU"/>
        </w:rPr>
        <w:t xml:space="preserve"> discuss how our approach informs judgment of inference relative to study design. We conclude </w:t>
      </w:r>
      <w:r w:rsidR="00652CB6">
        <w:rPr>
          <w:rFonts w:eastAsia="@PMingLiU"/>
        </w:rPr>
        <w:t xml:space="preserve">with </w:t>
      </w:r>
      <w:r w:rsidR="00CB7B14">
        <w:rPr>
          <w:rFonts w:eastAsia="@PMingLiU"/>
        </w:rPr>
        <w:t xml:space="preserve">implications </w:t>
      </w:r>
      <w:r w:rsidR="00CB7B14">
        <w:t xml:space="preserve">for </w:t>
      </w:r>
      <w:r w:rsidR="00CB7B14">
        <w:rPr>
          <w:rFonts w:eastAsia="@PMingLiU"/>
        </w:rPr>
        <w:t xml:space="preserve">scientific discourse. </w:t>
      </w:r>
    </w:p>
    <w:p w:rsidR="00222B9D" w:rsidRDefault="00222B9D">
      <w:pPr>
        <w:widowControl w:val="0"/>
        <w:spacing w:line="480" w:lineRule="auto"/>
        <w:rPr>
          <w:rFonts w:eastAsia="@PMingLiU"/>
        </w:rPr>
      </w:pPr>
    </w:p>
    <w:p w:rsidR="00C14DBE" w:rsidRDefault="006637E7">
      <w:pPr>
        <w:widowControl w:val="0"/>
        <w:spacing w:line="480" w:lineRule="auto"/>
        <w:rPr>
          <w:rFonts w:eastAsia="@PMingLiU"/>
        </w:rPr>
        <w:sectPr w:rsidR="00C14DBE">
          <w:headerReference w:type="default" r:id="rId9"/>
          <w:footerReference w:type="even" r:id="rId10"/>
          <w:footerReference w:type="default" r:id="rId11"/>
          <w:headerReference w:type="first" r:id="rId12"/>
          <w:type w:val="continuous"/>
          <w:pgSz w:w="12240" w:h="15840" w:code="1"/>
          <w:pgMar w:top="1440" w:right="1800" w:bottom="1440" w:left="1800" w:header="720" w:footer="720" w:gutter="0"/>
          <w:cols w:space="720"/>
          <w:docGrid w:linePitch="360"/>
        </w:sectPr>
      </w:pPr>
      <w:r>
        <w:rPr>
          <w:rFonts w:eastAsia="@PMingLiU"/>
        </w:rPr>
        <w:t>Keywords: causal inference</w:t>
      </w:r>
      <w:r w:rsidR="00222B9D">
        <w:rPr>
          <w:rFonts w:eastAsia="@PMingLiU"/>
        </w:rPr>
        <w:t xml:space="preserve">; </w:t>
      </w:r>
      <w:r w:rsidR="00A13499">
        <w:rPr>
          <w:rFonts w:eastAsia="@PMingLiU"/>
        </w:rPr>
        <w:t xml:space="preserve">Rubin’s causal model; </w:t>
      </w:r>
      <w:r>
        <w:rPr>
          <w:rFonts w:eastAsia="@PMingLiU"/>
        </w:rPr>
        <w:t xml:space="preserve">sensitivity analysis; </w:t>
      </w:r>
      <w:r w:rsidR="007D1E49">
        <w:rPr>
          <w:rFonts w:eastAsia="@PMingLiU"/>
        </w:rPr>
        <w:t xml:space="preserve">observational </w:t>
      </w:r>
      <w:bookmarkStart w:id="0" w:name="_GoBack"/>
      <w:bookmarkEnd w:id="0"/>
      <w:r w:rsidR="007D1E49">
        <w:rPr>
          <w:rFonts w:eastAsia="@PMingLiU"/>
        </w:rPr>
        <w:t>studies</w:t>
      </w:r>
    </w:p>
    <w:p w:rsidR="0080502D" w:rsidRDefault="0080502D" w:rsidP="0080502D">
      <w:pPr>
        <w:ind w:firstLine="360"/>
        <w:jc w:val="center"/>
        <w:rPr>
          <w:lang w:eastAsia="zh-CN"/>
        </w:rPr>
      </w:pPr>
      <w:r>
        <w:rPr>
          <w:lang w:eastAsia="zh-CN"/>
        </w:rPr>
        <w:lastRenderedPageBreak/>
        <w:t>What would it take to Change an Inference</w:t>
      </w:r>
      <w:proofErr w:type="gramStart"/>
      <w:r>
        <w:rPr>
          <w:lang w:eastAsia="zh-CN"/>
        </w:rPr>
        <w:t>?:</w:t>
      </w:r>
      <w:proofErr w:type="gramEnd"/>
      <w:r>
        <w:rPr>
          <w:lang w:eastAsia="zh-CN"/>
        </w:rPr>
        <w:t xml:space="preserve"> </w:t>
      </w:r>
    </w:p>
    <w:p w:rsidR="0080502D" w:rsidRDefault="0080502D" w:rsidP="0080502D">
      <w:pPr>
        <w:ind w:firstLine="360"/>
        <w:jc w:val="center"/>
        <w:rPr>
          <w:lang w:eastAsia="zh-CN"/>
        </w:rPr>
      </w:pPr>
      <w:r>
        <w:rPr>
          <w:lang w:eastAsia="zh-CN"/>
        </w:rPr>
        <w:t xml:space="preserve">Using Rubin’s Causal Model to Interpret the Robustness of Causal Inferences </w:t>
      </w:r>
    </w:p>
    <w:p w:rsidR="001B7203" w:rsidRDefault="001B7203" w:rsidP="00A63702">
      <w:pPr>
        <w:spacing w:after="120"/>
        <w:ind w:firstLine="360"/>
        <w:jc w:val="center"/>
        <w:rPr>
          <w:lang w:eastAsia="zh-CN"/>
        </w:rPr>
      </w:pPr>
    </w:p>
    <w:p w:rsidR="00222B9D" w:rsidRDefault="00B553CE">
      <w:pPr>
        <w:widowControl w:val="0"/>
        <w:spacing w:line="480" w:lineRule="auto"/>
        <w:ind w:firstLine="720"/>
        <w:jc w:val="center"/>
        <w:rPr>
          <w:rStyle w:val="CommentReference"/>
        </w:rPr>
      </w:pPr>
      <w:r>
        <w:rPr>
          <w:rFonts w:eastAsia="@PMingLiU"/>
          <w:b/>
        </w:rPr>
        <w:t xml:space="preserve">Introduction </w:t>
      </w:r>
    </w:p>
    <w:p w:rsidR="00ED3D27" w:rsidRDefault="000D349C" w:rsidP="00ED3D27">
      <w:pPr>
        <w:widowControl w:val="0"/>
        <w:spacing w:line="480" w:lineRule="auto"/>
        <w:ind w:firstLine="720"/>
      </w:pPr>
      <w:r>
        <w:rPr>
          <w:rFonts w:eastAsia="@PMingLiU"/>
        </w:rPr>
        <w:t xml:space="preserve">Education is fundamentally a pragmatic enterprise (e.g., </w:t>
      </w:r>
      <w:r>
        <w:rPr>
          <w:kern w:val="24"/>
        </w:rPr>
        <w:t xml:space="preserve">National Research Council, 2002; </w:t>
      </w:r>
      <w:r>
        <w:rPr>
          <w:rFonts w:eastAsia="@PMingLiU"/>
        </w:rPr>
        <w:t xml:space="preserve">Raudenbush, 2005), with the ultimate goal of educational research to inform choices about curricula, pedagogy, practices, or school organization (e.g., </w:t>
      </w:r>
      <w:proofErr w:type="spellStart"/>
      <w:r>
        <w:rPr>
          <w:rFonts w:eastAsia="@PMingLiU"/>
        </w:rPr>
        <w:t>Bulterman-Bos</w:t>
      </w:r>
      <w:proofErr w:type="spellEnd"/>
      <w:r>
        <w:rPr>
          <w:rFonts w:eastAsia="@PMingLiU"/>
        </w:rPr>
        <w:t xml:space="preserve">, 2008; Cook, 2002). </w:t>
      </w:r>
    </w:p>
    <w:p w:rsidR="000D349C" w:rsidRDefault="000D349C" w:rsidP="003800FA">
      <w:pPr>
        <w:widowControl w:val="0"/>
        <w:spacing w:after="100" w:line="480" w:lineRule="auto"/>
        <w:rPr>
          <w:rFonts w:eastAsia="@PMingLiU"/>
        </w:rPr>
      </w:pPr>
      <w:r>
        <w:rPr>
          <w:rFonts w:eastAsia="@PMingLiU"/>
        </w:rPr>
        <w:t>To achieve that goal, educational researchers must pay careful attention to the basis for making causal inferences (e.g., Schneider et al., 2007). In Holland’s (1986) language</w:t>
      </w:r>
      <w:r w:rsidR="00B24A77">
        <w:rPr>
          <w:rFonts w:eastAsia="@PMingLiU"/>
        </w:rPr>
        <w:t xml:space="preserve"> i</w:t>
      </w:r>
      <w:r>
        <w:rPr>
          <w:rFonts w:eastAsia="@PMingLiU"/>
        </w:rPr>
        <w:t xml:space="preserve">f educational researchers do not </w:t>
      </w:r>
      <w:r w:rsidR="005C538D">
        <w:rPr>
          <w:rFonts w:eastAsia="@PMingLiU"/>
        </w:rPr>
        <w:t xml:space="preserve">infer </w:t>
      </w:r>
      <w:r>
        <w:rPr>
          <w:rFonts w:eastAsia="@PMingLiU"/>
        </w:rPr>
        <w:t xml:space="preserve">the correct causes of effects then policy </w:t>
      </w:r>
      <w:r w:rsidR="00B24A77">
        <w:rPr>
          <w:rFonts w:eastAsia="@PMingLiU"/>
        </w:rPr>
        <w:t xml:space="preserve">manipulations </w:t>
      </w:r>
      <w:r>
        <w:rPr>
          <w:rFonts w:eastAsia="@PMingLiU"/>
        </w:rPr>
        <w:t>based on their research will not produce the intended results.</w:t>
      </w:r>
    </w:p>
    <w:p w:rsidR="000110ED" w:rsidRDefault="00CD3F22">
      <w:pPr>
        <w:widowControl w:val="0"/>
        <w:spacing w:line="480" w:lineRule="auto"/>
        <w:ind w:firstLine="720"/>
        <w:rPr>
          <w:rFonts w:eastAsia="@PMingLiU"/>
        </w:rPr>
      </w:pPr>
      <w:r>
        <w:t xml:space="preserve">But </w:t>
      </w:r>
      <w:r w:rsidR="003A2E28">
        <w:t>study results can be ambiguous</w:t>
      </w:r>
      <w:r>
        <w:t xml:space="preserve">. </w:t>
      </w:r>
      <w:r w:rsidR="003A2E28">
        <w:t>As a result, d</w:t>
      </w:r>
      <w:r>
        <w:t xml:space="preserve">ebate about </w:t>
      </w:r>
      <w:r w:rsidR="00FC2749">
        <w:t xml:space="preserve">the general bases for </w:t>
      </w:r>
      <w:r>
        <w:t>causal inferences in the social sciences dates back to the 1900’s (e.g., Becker, 1967; Rubin, 1974; Thorndike</w:t>
      </w:r>
      <w:r w:rsidR="00A967FC">
        <w:t xml:space="preserve"> &amp; Woodworth</w:t>
      </w:r>
      <w:r>
        <w:t xml:space="preserve">, 1901; see </w:t>
      </w:r>
      <w:r>
        <w:rPr>
          <w:kern w:val="24"/>
        </w:rPr>
        <w:t xml:space="preserve">Abbott, 1998 or </w:t>
      </w:r>
      <w:r>
        <w:rPr>
          <w:rFonts w:eastAsia="@PMingLiU"/>
        </w:rPr>
        <w:t>Oakley, 1998 for reviews)</w:t>
      </w:r>
      <w:r>
        <w:t xml:space="preserve">, with some heated as in the Cronbach vs Campbell exchanges of the 1980’s (e.g., Cook </w:t>
      </w:r>
      <w:r>
        <w:rPr>
          <w:lang w:eastAsia="ko-KR"/>
        </w:rPr>
        <w:t>&amp;</w:t>
      </w:r>
      <w:r>
        <w:t xml:space="preserve"> Campbell,</w:t>
      </w:r>
      <w:r>
        <w:rPr>
          <w:lang w:eastAsia="ko-KR"/>
        </w:rPr>
        <w:t xml:space="preserve"> 19</w:t>
      </w:r>
      <w:r>
        <w:t>79; Cronbach,</w:t>
      </w:r>
      <w:r>
        <w:rPr>
          <w:lang w:eastAsia="ko-KR"/>
        </w:rPr>
        <w:t xml:space="preserve"> 19</w:t>
      </w:r>
      <w:r>
        <w:t xml:space="preserve">82). </w:t>
      </w:r>
      <w:r w:rsidR="00FC2749">
        <w:rPr>
          <w:rFonts w:eastAsia="@PMingLiU"/>
        </w:rPr>
        <w:t>D</w:t>
      </w:r>
      <w:r w:rsidR="00201CAB">
        <w:rPr>
          <w:rFonts w:eastAsia="@PMingLiU"/>
        </w:rPr>
        <w:t xml:space="preserve">ebates </w:t>
      </w:r>
      <w:r w:rsidR="00FC2749">
        <w:rPr>
          <w:rFonts w:eastAsia="@PMingLiU"/>
        </w:rPr>
        <w:t xml:space="preserve">have also emerged </w:t>
      </w:r>
      <w:r w:rsidR="00201CAB">
        <w:rPr>
          <w:rFonts w:eastAsia="@PMingLiU"/>
        </w:rPr>
        <w:t xml:space="preserve">about </w:t>
      </w:r>
      <w:r w:rsidR="00FA0711">
        <w:rPr>
          <w:rFonts w:eastAsia="@PMingLiU"/>
        </w:rPr>
        <w:t xml:space="preserve">specific </w:t>
      </w:r>
      <w:r w:rsidR="00201CAB">
        <w:rPr>
          <w:rFonts w:eastAsia="@PMingLiU"/>
        </w:rPr>
        <w:t>causal inference</w:t>
      </w:r>
      <w:r w:rsidR="00FC2749">
        <w:rPr>
          <w:rFonts w:eastAsia="@PMingLiU"/>
        </w:rPr>
        <w:t>s</w:t>
      </w:r>
      <w:r w:rsidR="00201CAB">
        <w:rPr>
          <w:rFonts w:eastAsia="@PMingLiU"/>
        </w:rPr>
        <w:t xml:space="preserve">. </w:t>
      </w:r>
      <w:r w:rsidR="000D349C">
        <w:rPr>
          <w:rFonts w:eastAsia="@PMingLiU"/>
        </w:rPr>
        <w:t>F</w:t>
      </w:r>
      <w:r w:rsidR="000D349C">
        <w:t xml:space="preserve">or example, analyzing data from </w:t>
      </w:r>
      <w:r w:rsidR="000D349C">
        <w:rPr>
          <w:rFonts w:hint="eastAsia"/>
          <w:lang w:eastAsia="zh-CN"/>
        </w:rPr>
        <w:t xml:space="preserve">the federal longitudinal database </w:t>
      </w:r>
      <w:r w:rsidR="000D349C">
        <w:t>High School and Beyond, Coleman, Hoffer and Kilgore (1982) estimated that students attending Catholic schools had higher achievement than similar students attending public schools</w:t>
      </w:r>
      <w:r w:rsidR="003A2E28">
        <w:t xml:space="preserve"> leading to an inference that Catholic schools educate students better than public schools (Chubb and Moe 1990; Coleman, Hoffer and Kilgore 1982)</w:t>
      </w:r>
      <w:r w:rsidR="000D349C">
        <w:t xml:space="preserve">. </w:t>
      </w:r>
      <w:r w:rsidR="0096719A">
        <w:t>C</w:t>
      </w:r>
      <w:r w:rsidR="00E9186A">
        <w:t xml:space="preserve">ontroversy </w:t>
      </w:r>
      <w:r w:rsidR="00C419CE">
        <w:t xml:space="preserve">ensued over the internal validity of the results: </w:t>
      </w:r>
      <w:r w:rsidR="00771B86">
        <w:t>D</w:t>
      </w:r>
      <w:r w:rsidR="000D349C">
        <w:t xml:space="preserve">espite controlling for background characteristics, can we ever be sure that the Catholic and public students being compared were really similar?  Indeed in a critique of the Coleman findings, Alexander and Pallas (1983) noted that “… the single greatest burden of school effects research is to distinguish convincingly between outcome differences that reflect simply differences in the kinds of students </w:t>
      </w:r>
      <w:r w:rsidR="000D349C">
        <w:lastRenderedPageBreak/>
        <w:t>who attend various schools from differences that are attributable to something about the schools themselves” (p. 170).</w:t>
      </w:r>
    </w:p>
    <w:p w:rsidR="00807DB4" w:rsidRDefault="000D349C" w:rsidP="00807DB4">
      <w:pPr>
        <w:widowControl w:val="0"/>
        <w:autoSpaceDE w:val="0"/>
        <w:autoSpaceDN w:val="0"/>
        <w:adjustRightInd w:val="0"/>
        <w:spacing w:line="480" w:lineRule="auto"/>
        <w:ind w:firstLine="720"/>
        <w:rPr>
          <w:rFonts w:eastAsia="@PMingLiU"/>
        </w:rPr>
      </w:pPr>
      <w:r>
        <w:rPr>
          <w:rFonts w:eastAsia="@PMingLiU"/>
        </w:rPr>
        <w:t>Given concerns about inferences from observational studies, several institutions, such as the What Works Clearinghouse (</w:t>
      </w:r>
      <w:proofErr w:type="spellStart"/>
      <w:r>
        <w:rPr>
          <w:rFonts w:eastAsia="@PMingLiU"/>
        </w:rPr>
        <w:t>Eisenhardt</w:t>
      </w:r>
      <w:proofErr w:type="spellEnd"/>
      <w:r>
        <w:rPr>
          <w:rFonts w:eastAsia="@PMingLiU"/>
        </w:rPr>
        <w:t xml:space="preserve"> &amp; Towne, 2008) and the US Department of Education’s National Center for Education Research (NCER), have drawn on the medical model to call for a sound, scientifically rigorous basis for making causal inferences</w:t>
      </w:r>
      <w:r w:rsidR="00B24A77">
        <w:rPr>
          <w:rFonts w:eastAsia="@PMingLiU"/>
        </w:rPr>
        <w:t xml:space="preserve"> in educational research</w:t>
      </w:r>
      <w:r>
        <w:rPr>
          <w:rFonts w:eastAsia="@PMingLiU"/>
        </w:rPr>
        <w:t xml:space="preserve">. In particular these institutions have emphasized the importance of random assignment to treatment conditions for making causal inferences; if subjects are randomly assigned to treatments then any preexisting differences between </w:t>
      </w:r>
      <w:proofErr w:type="gramStart"/>
      <w:r>
        <w:rPr>
          <w:rFonts w:eastAsia="@PMingLiU"/>
        </w:rPr>
        <w:t>treatment</w:t>
      </w:r>
      <w:proofErr w:type="gramEnd"/>
      <w:r>
        <w:rPr>
          <w:rFonts w:eastAsia="@PMingLiU"/>
        </w:rPr>
        <w:t xml:space="preserve"> groups will be eliminat</w:t>
      </w:r>
      <w:r w:rsidR="005F7D7A">
        <w:rPr>
          <w:rFonts w:eastAsia="@PMingLiU"/>
        </w:rPr>
        <w:t>ed in the long run (Fisher, 197</w:t>
      </w:r>
      <w:r w:rsidR="00041066">
        <w:rPr>
          <w:rFonts w:eastAsia="@PMingLiU"/>
        </w:rPr>
        <w:t>0</w:t>
      </w:r>
      <w:r w:rsidR="005F7D7A">
        <w:rPr>
          <w:rFonts w:eastAsia="@PMingLiU"/>
        </w:rPr>
        <w:t>[1930]</w:t>
      </w:r>
      <w:r>
        <w:rPr>
          <w:rFonts w:eastAsia="@PMingLiU"/>
        </w:rPr>
        <w:t>).  Prominent e</w:t>
      </w:r>
      <w:r>
        <w:t>xamples of randomized experiments in educational research include evaluations of Sesame Street (</w:t>
      </w:r>
      <w:proofErr w:type="spellStart"/>
      <w:r>
        <w:t>Bogatz</w:t>
      </w:r>
      <w:proofErr w:type="spellEnd"/>
      <w:r>
        <w:t xml:space="preserve"> &amp; Ball, 1972); the Perry Preschool Project (</w:t>
      </w:r>
      <w:proofErr w:type="spellStart"/>
      <w:r>
        <w:t>Schweinhart</w:t>
      </w:r>
      <w:proofErr w:type="spellEnd"/>
      <w:r>
        <w:t xml:space="preserve">, Barnes, &amp; </w:t>
      </w:r>
      <w:proofErr w:type="spellStart"/>
      <w:r>
        <w:t>Weikart</w:t>
      </w:r>
      <w:proofErr w:type="spellEnd"/>
      <w:r>
        <w:t>, 1993); small classes (</w:t>
      </w:r>
      <w:r>
        <w:rPr>
          <w:rFonts w:eastAsia="@PMingLiU"/>
        </w:rPr>
        <w:t xml:space="preserve">Finn &amp; Achilles, 1991); and Comer’s </w:t>
      </w:r>
      <w:r>
        <w:rPr>
          <w:rFonts w:hint="eastAsia"/>
          <w:lang w:eastAsia="zh-CN"/>
        </w:rPr>
        <w:t>S</w:t>
      </w:r>
      <w:r>
        <w:rPr>
          <w:rFonts w:eastAsia="@PMingLiU"/>
        </w:rPr>
        <w:t xml:space="preserve">chool </w:t>
      </w:r>
      <w:r>
        <w:rPr>
          <w:rFonts w:hint="eastAsia"/>
          <w:lang w:eastAsia="zh-CN"/>
        </w:rPr>
        <w:t>D</w:t>
      </w:r>
      <w:r>
        <w:rPr>
          <w:rFonts w:eastAsia="@PMingLiU"/>
        </w:rPr>
        <w:t xml:space="preserve">evelopment </w:t>
      </w:r>
      <w:r>
        <w:rPr>
          <w:rFonts w:hint="eastAsia"/>
          <w:lang w:eastAsia="zh-CN"/>
        </w:rPr>
        <w:t xml:space="preserve">Program </w:t>
      </w:r>
      <w:r>
        <w:rPr>
          <w:rFonts w:eastAsia="@PMingLiU"/>
        </w:rPr>
        <w:t>(see Cook, 2003, p. 123, for a review).</w:t>
      </w:r>
    </w:p>
    <w:p w:rsidR="005A7866" w:rsidRDefault="0096719A" w:rsidP="005A7866">
      <w:pPr>
        <w:widowControl w:val="0"/>
        <w:autoSpaceDE w:val="0"/>
        <w:autoSpaceDN w:val="0"/>
        <w:adjustRightInd w:val="0"/>
        <w:spacing w:line="480" w:lineRule="auto"/>
        <w:ind w:firstLine="720"/>
      </w:pPr>
      <w:r>
        <w:t>D</w:t>
      </w:r>
      <w:r w:rsidR="000F351D">
        <w:t xml:space="preserve">espite their many virtues, </w:t>
      </w:r>
      <w:r w:rsidR="00C419CE">
        <w:t xml:space="preserve">even perfectly executed </w:t>
      </w:r>
      <w:r w:rsidR="000D349C">
        <w:t>randomized experiments</w:t>
      </w:r>
      <w:r w:rsidR="00FC2749">
        <w:t xml:space="preserve"> </w:t>
      </w:r>
      <w:r w:rsidR="00C419CE">
        <w:t xml:space="preserve">do not </w:t>
      </w:r>
      <w:r w:rsidR="00B24A77">
        <w:t xml:space="preserve">preempt </w:t>
      </w:r>
      <w:r w:rsidR="00C419CE">
        <w:t>debate about causal inferences</w:t>
      </w:r>
      <w:r w:rsidR="00FC2749">
        <w:t xml:space="preserve">.  </w:t>
      </w:r>
      <w:r w:rsidR="00FA0711">
        <w:rPr>
          <w:rFonts w:eastAsia="@PMingLiU"/>
        </w:rPr>
        <w:t xml:space="preserve">This is because it is rare when an educational researcher can randomly sample subjects from the desired target population and then also randomly assign subjects to meaningful treatment </w:t>
      </w:r>
      <w:proofErr w:type="gramStart"/>
      <w:r w:rsidR="00FA0711">
        <w:rPr>
          <w:rFonts w:eastAsia="@PMingLiU"/>
        </w:rPr>
        <w:t>conditions  (</w:t>
      </w:r>
      <w:proofErr w:type="gramEnd"/>
      <w:r w:rsidR="00FA0711">
        <w:rPr>
          <w:rFonts w:eastAsia="@PMingLiU"/>
        </w:rPr>
        <w:t xml:space="preserve">Cook, 2003).  </w:t>
      </w:r>
      <w:r w:rsidR="002D744E">
        <w:rPr>
          <w:rFonts w:eastAsia="@PMingLiU"/>
        </w:rPr>
        <w:t>For example, i</w:t>
      </w:r>
      <w:r w:rsidR="00FA0711">
        <w:rPr>
          <w:rFonts w:eastAsia="@PMingLiU"/>
        </w:rPr>
        <w:t xml:space="preserve">magine a researcher randomly sampling students and then telling some they had been randomly assigned a treatment, such as to attend a Catholic school. </w:t>
      </w:r>
      <w:r w:rsidR="00A81746">
        <w:t xml:space="preserve">Consequently, randomized experiments are open to the critique that </w:t>
      </w:r>
      <w:r w:rsidR="000F351D">
        <w:t>the</w:t>
      </w:r>
      <w:r w:rsidR="00A81746">
        <w:t>ir</w:t>
      </w:r>
      <w:r w:rsidR="000F351D">
        <w:t xml:space="preserve"> external validity </w:t>
      </w:r>
      <w:r w:rsidR="000F351D">
        <w:rPr>
          <w:rFonts w:eastAsia="@PMingLiU"/>
        </w:rPr>
        <w:t xml:space="preserve">is limited by the </w:t>
      </w:r>
      <w:r w:rsidR="00107429">
        <w:rPr>
          <w:lang w:eastAsia="zh-CN"/>
        </w:rPr>
        <w:t xml:space="preserve">representativeness of the </w:t>
      </w:r>
      <w:r w:rsidR="000D349C">
        <w:rPr>
          <w:rFonts w:eastAsia="@PMingLiU"/>
        </w:rPr>
        <w:t xml:space="preserve">sample on which the experiment was conducted. As a result most if not all </w:t>
      </w:r>
      <w:r>
        <w:rPr>
          <w:rFonts w:eastAsia="@PMingLiU"/>
        </w:rPr>
        <w:t xml:space="preserve">educational research </w:t>
      </w:r>
      <w:r w:rsidR="00107429">
        <w:rPr>
          <w:rFonts w:eastAsia="@PMingLiU"/>
        </w:rPr>
        <w:t>leave</w:t>
      </w:r>
      <w:r>
        <w:rPr>
          <w:rFonts w:eastAsia="@PMingLiU"/>
        </w:rPr>
        <w:t>s</w:t>
      </w:r>
      <w:r w:rsidR="00107429">
        <w:rPr>
          <w:rFonts w:eastAsia="@PMingLiU"/>
        </w:rPr>
        <w:t xml:space="preserve"> the </w:t>
      </w:r>
      <w:proofErr w:type="gramStart"/>
      <w:r w:rsidR="00107429">
        <w:rPr>
          <w:rFonts w:eastAsia="@PMingLiU"/>
        </w:rPr>
        <w:t>door open</w:t>
      </w:r>
      <w:proofErr w:type="gramEnd"/>
      <w:r w:rsidR="00107429">
        <w:rPr>
          <w:rFonts w:eastAsia="@PMingLiU"/>
        </w:rPr>
        <w:t xml:space="preserve"> to debate</w:t>
      </w:r>
      <w:r w:rsidR="00406E58">
        <w:rPr>
          <w:rFonts w:eastAsia="@PMingLiU"/>
        </w:rPr>
        <w:t xml:space="preserve"> </w:t>
      </w:r>
      <w:r>
        <w:rPr>
          <w:rFonts w:eastAsia="@PMingLiU"/>
        </w:rPr>
        <w:t>because of a non-random sample and/or non-random assignment to treatments</w:t>
      </w:r>
      <w:r w:rsidR="005A7866">
        <w:rPr>
          <w:rFonts w:eastAsia="@PMingLiU"/>
        </w:rPr>
        <w:t>.</w:t>
      </w:r>
    </w:p>
    <w:p w:rsidR="005A7866" w:rsidRDefault="005A7866" w:rsidP="005A7866">
      <w:pPr>
        <w:rPr>
          <w:lang w:eastAsia="zh-CN"/>
        </w:rPr>
      </w:pPr>
    </w:p>
    <w:p w:rsidR="005A7866" w:rsidRDefault="005A7866" w:rsidP="00201CAB">
      <w:pPr>
        <w:widowControl w:val="0"/>
        <w:autoSpaceDE w:val="0"/>
        <w:autoSpaceDN w:val="0"/>
        <w:adjustRightInd w:val="0"/>
        <w:spacing w:line="480" w:lineRule="auto"/>
        <w:ind w:firstLine="720"/>
        <w:rPr>
          <w:rFonts w:eastAsia="@PMingLiU"/>
        </w:rPr>
      </w:pPr>
    </w:p>
    <w:p w:rsidR="00FA0711" w:rsidRDefault="002455E0" w:rsidP="00201CAB">
      <w:pPr>
        <w:widowControl w:val="0"/>
        <w:autoSpaceDE w:val="0"/>
        <w:autoSpaceDN w:val="0"/>
        <w:adjustRightInd w:val="0"/>
        <w:spacing w:line="480" w:lineRule="auto"/>
        <w:ind w:firstLine="720"/>
        <w:rPr>
          <w:kern w:val="24"/>
        </w:rPr>
      </w:pPr>
      <w:r>
        <w:rPr>
          <w:kern w:val="24"/>
        </w:rPr>
        <w:lastRenderedPageBreak/>
        <w:t xml:space="preserve">In this </w:t>
      </w:r>
      <w:r w:rsidR="005A4AE1">
        <w:rPr>
          <w:kern w:val="24"/>
        </w:rPr>
        <w:t xml:space="preserve">article, </w:t>
      </w:r>
      <w:r>
        <w:rPr>
          <w:kern w:val="24"/>
        </w:rPr>
        <w:t xml:space="preserve">we </w:t>
      </w:r>
      <w:r w:rsidR="00465156">
        <w:rPr>
          <w:kern w:val="24"/>
        </w:rPr>
        <w:t>put forth a framework that informs debate about causal inferences</w:t>
      </w:r>
      <w:r w:rsidR="0096719A">
        <w:rPr>
          <w:kern w:val="24"/>
        </w:rPr>
        <w:t xml:space="preserve"> in educational research</w:t>
      </w:r>
      <w:r w:rsidR="00FC2749">
        <w:rPr>
          <w:kern w:val="24"/>
        </w:rPr>
        <w:t xml:space="preserve">.  </w:t>
      </w:r>
      <w:r w:rsidR="009A5DE2">
        <w:rPr>
          <w:kern w:val="24"/>
        </w:rPr>
        <w:t xml:space="preserve">As a foundation, </w:t>
      </w:r>
      <w:r w:rsidR="00FC2749">
        <w:rPr>
          <w:kern w:val="24"/>
        </w:rPr>
        <w:t xml:space="preserve">we </w:t>
      </w:r>
      <w:r>
        <w:rPr>
          <w:kern w:val="24"/>
        </w:rPr>
        <w:t>draw on Rubin’s causal model (RCM)</w:t>
      </w:r>
      <w:r w:rsidR="002E14C1">
        <w:rPr>
          <w:kern w:val="24"/>
        </w:rPr>
        <w:t xml:space="preserve"> (Rubin, 1974)</w:t>
      </w:r>
      <w:r>
        <w:rPr>
          <w:kern w:val="24"/>
        </w:rPr>
        <w:t xml:space="preserve"> to </w:t>
      </w:r>
      <w:r w:rsidR="009A5DE2">
        <w:rPr>
          <w:kern w:val="24"/>
        </w:rPr>
        <w:t xml:space="preserve">express concerns about bias in terms of the characteristics of </w:t>
      </w:r>
      <w:r>
        <w:rPr>
          <w:kern w:val="24"/>
        </w:rPr>
        <w:t xml:space="preserve">unobserved data.  </w:t>
      </w:r>
      <w:r w:rsidR="00133796">
        <w:rPr>
          <w:kern w:val="24"/>
        </w:rPr>
        <w:t xml:space="preserve">In particular, we use RCM to characterize how one could invalidate inferences by replacing observed cases with unobserved cases in which there was no treatment effect.  The underlying intuition is </w:t>
      </w:r>
      <w:r w:rsidR="00FA0711">
        <w:rPr>
          <w:kern w:val="24"/>
        </w:rPr>
        <w:t>straight-</w:t>
      </w:r>
      <w:r w:rsidR="00096505">
        <w:rPr>
          <w:kern w:val="24"/>
        </w:rPr>
        <w:t>forward</w:t>
      </w:r>
      <w:r w:rsidR="00133796">
        <w:rPr>
          <w:kern w:val="24"/>
        </w:rPr>
        <w:t xml:space="preserve">:  How much would a study sample have to change in order to change the inference?  </w:t>
      </w:r>
      <w:r w:rsidR="00B24A77">
        <w:rPr>
          <w:kern w:val="24"/>
        </w:rPr>
        <w:t xml:space="preserve"> </w:t>
      </w:r>
      <w:r w:rsidR="0096719A">
        <w:rPr>
          <w:kern w:val="24"/>
        </w:rPr>
        <w:t xml:space="preserve">We answer this question using a </w:t>
      </w:r>
      <w:r>
        <w:rPr>
          <w:kern w:val="24"/>
        </w:rPr>
        <w:t xml:space="preserve">framework that </w:t>
      </w:r>
      <w:r w:rsidR="0096719A">
        <w:rPr>
          <w:kern w:val="24"/>
        </w:rPr>
        <w:t xml:space="preserve">quantifies </w:t>
      </w:r>
      <w:r>
        <w:rPr>
          <w:kern w:val="24"/>
        </w:rPr>
        <w:t>sources of bias rooted in either restricted samp</w:t>
      </w:r>
      <w:r w:rsidR="00F55573">
        <w:rPr>
          <w:kern w:val="24"/>
        </w:rPr>
        <w:t>ling or non-random treatment assignment.</w:t>
      </w:r>
    </w:p>
    <w:p w:rsidR="007674CB" w:rsidRDefault="002455E0" w:rsidP="007674CB">
      <w:pPr>
        <w:widowControl w:val="0"/>
        <w:autoSpaceDE w:val="0"/>
        <w:autoSpaceDN w:val="0"/>
        <w:adjustRightInd w:val="0"/>
        <w:spacing w:line="480" w:lineRule="auto"/>
        <w:ind w:firstLine="720"/>
        <w:rPr>
          <w:kern w:val="24"/>
        </w:rPr>
      </w:pPr>
      <w:r>
        <w:rPr>
          <w:kern w:val="24"/>
        </w:rPr>
        <w:t>Equally importantly, our framework enables researchers to identify a “switch point” (</w:t>
      </w:r>
      <w:proofErr w:type="spellStart"/>
      <w:r>
        <w:rPr>
          <w:kern w:val="24"/>
        </w:rPr>
        <w:t>Behn</w:t>
      </w:r>
      <w:proofErr w:type="spellEnd"/>
      <w:r>
        <w:rPr>
          <w:kern w:val="24"/>
        </w:rPr>
        <w:t xml:space="preserve"> and </w:t>
      </w:r>
      <w:proofErr w:type="spellStart"/>
      <w:r>
        <w:rPr>
          <w:kern w:val="24"/>
        </w:rPr>
        <w:t>Vaupel</w:t>
      </w:r>
      <w:proofErr w:type="spellEnd"/>
      <w:r>
        <w:rPr>
          <w:kern w:val="24"/>
        </w:rPr>
        <w:t xml:space="preserve">, 1982) where the bias is large enough to </w:t>
      </w:r>
      <w:r w:rsidR="002C0E81">
        <w:rPr>
          <w:kern w:val="24"/>
        </w:rPr>
        <w:t xml:space="preserve">undo </w:t>
      </w:r>
      <w:r>
        <w:rPr>
          <w:kern w:val="24"/>
        </w:rPr>
        <w:t xml:space="preserve">one’s belief about an effect </w:t>
      </w:r>
      <w:r w:rsidR="00E17FF0">
        <w:rPr>
          <w:kern w:val="24"/>
        </w:rPr>
        <w:t xml:space="preserve">(e.g., from inferring an effect to inferring </w:t>
      </w:r>
      <w:r w:rsidR="009A5DE2">
        <w:rPr>
          <w:kern w:val="24"/>
        </w:rPr>
        <w:t xml:space="preserve">no </w:t>
      </w:r>
      <w:r w:rsidR="00E17FF0">
        <w:rPr>
          <w:kern w:val="24"/>
        </w:rPr>
        <w:t>effect)</w:t>
      </w:r>
      <w:r w:rsidR="00201CAB">
        <w:rPr>
          <w:kern w:val="24"/>
        </w:rPr>
        <w:t xml:space="preserve">. </w:t>
      </w:r>
      <w:r>
        <w:rPr>
          <w:kern w:val="24"/>
        </w:rPr>
        <w:t xml:space="preserve"> </w:t>
      </w:r>
      <w:r w:rsidR="00F55573">
        <w:rPr>
          <w:kern w:val="24"/>
        </w:rPr>
        <w:t>Using the switching point</w:t>
      </w:r>
      <w:r w:rsidR="00201CAB">
        <w:rPr>
          <w:kern w:val="24"/>
        </w:rPr>
        <w:t xml:space="preserve">, we transform </w:t>
      </w:r>
      <w:r w:rsidR="00133796">
        <w:rPr>
          <w:kern w:val="24"/>
        </w:rPr>
        <w:t xml:space="preserve">external validity concerns </w:t>
      </w:r>
      <w:r w:rsidR="00E17FF0">
        <w:rPr>
          <w:kern w:val="24"/>
        </w:rPr>
        <w:t>such as</w:t>
      </w:r>
      <w:r w:rsidR="00201CAB">
        <w:rPr>
          <w:kern w:val="24"/>
        </w:rPr>
        <w:t>: “</w:t>
      </w:r>
      <w:r w:rsidR="00F55573">
        <w:rPr>
          <w:kern w:val="24"/>
        </w:rPr>
        <w:t xml:space="preserve">I don’t believe the study applies to </w:t>
      </w:r>
      <w:r w:rsidR="00201CAB">
        <w:rPr>
          <w:kern w:val="24"/>
        </w:rPr>
        <w:t xml:space="preserve">my </w:t>
      </w:r>
      <w:r w:rsidR="007674CB">
        <w:rPr>
          <w:kern w:val="24"/>
        </w:rPr>
        <w:t>population of interest</w:t>
      </w:r>
      <w:r w:rsidR="00201CAB">
        <w:rPr>
          <w:kern w:val="24"/>
        </w:rPr>
        <w:t>” to question</w:t>
      </w:r>
      <w:r w:rsidR="00E17FF0">
        <w:rPr>
          <w:kern w:val="24"/>
        </w:rPr>
        <w:t>s such as</w:t>
      </w:r>
      <w:r w:rsidR="00201CAB">
        <w:rPr>
          <w:kern w:val="24"/>
        </w:rPr>
        <w:t xml:space="preserve"> “How much bias must there have been in the sampling process to make the inference invalid for </w:t>
      </w:r>
      <w:r w:rsidR="00C32F99">
        <w:rPr>
          <w:kern w:val="24"/>
        </w:rPr>
        <w:t xml:space="preserve">a </w:t>
      </w:r>
      <w:r w:rsidR="00201CAB">
        <w:rPr>
          <w:kern w:val="24"/>
        </w:rPr>
        <w:t xml:space="preserve">population </w:t>
      </w:r>
      <w:r w:rsidR="00C32F99">
        <w:rPr>
          <w:kern w:val="24"/>
        </w:rPr>
        <w:t xml:space="preserve">that includes </w:t>
      </w:r>
      <w:r w:rsidR="007674CB">
        <w:rPr>
          <w:kern w:val="24"/>
        </w:rPr>
        <w:t>my population of interest</w:t>
      </w:r>
      <w:r w:rsidR="00201CAB">
        <w:rPr>
          <w:kern w:val="24"/>
        </w:rPr>
        <w:t>?”  Similarly</w:t>
      </w:r>
      <w:r w:rsidR="00133796">
        <w:rPr>
          <w:kern w:val="24"/>
        </w:rPr>
        <w:t xml:space="preserve"> with respect to internal validity</w:t>
      </w:r>
      <w:r w:rsidR="00201CAB">
        <w:rPr>
          <w:kern w:val="24"/>
        </w:rPr>
        <w:t>, we transform statement</w:t>
      </w:r>
      <w:r w:rsidR="00E17FF0">
        <w:rPr>
          <w:kern w:val="24"/>
        </w:rPr>
        <w:t>s such as</w:t>
      </w:r>
      <w:r w:rsidR="00201CAB">
        <w:rPr>
          <w:kern w:val="24"/>
        </w:rPr>
        <w:t xml:space="preserve"> “But </w:t>
      </w:r>
      <w:r w:rsidR="00F55573">
        <w:rPr>
          <w:kern w:val="24"/>
        </w:rPr>
        <w:t>the inference of a treatment effect might not be valid because of pre-existing differences between the treatment groups</w:t>
      </w:r>
      <w:r w:rsidR="00201CAB">
        <w:rPr>
          <w:kern w:val="24"/>
        </w:rPr>
        <w:t>” to question</w:t>
      </w:r>
      <w:r w:rsidR="00E17FF0">
        <w:rPr>
          <w:kern w:val="24"/>
        </w:rPr>
        <w:t>s such as</w:t>
      </w:r>
      <w:r w:rsidR="00201CAB">
        <w:rPr>
          <w:kern w:val="24"/>
        </w:rPr>
        <w:t xml:space="preserve"> “How much bias must there have been due to </w:t>
      </w:r>
      <w:r w:rsidR="00F55573">
        <w:rPr>
          <w:kern w:val="24"/>
        </w:rPr>
        <w:t xml:space="preserve">uncontrolled pre-existing differences </w:t>
      </w:r>
      <w:r w:rsidR="00201CAB">
        <w:rPr>
          <w:kern w:val="24"/>
        </w:rPr>
        <w:t xml:space="preserve">to make the inference invalid?” </w:t>
      </w:r>
    </w:p>
    <w:p w:rsidR="004B7573" w:rsidRDefault="004B7573" w:rsidP="007674CB">
      <w:pPr>
        <w:widowControl w:val="0"/>
        <w:autoSpaceDE w:val="0"/>
        <w:autoSpaceDN w:val="0"/>
        <w:adjustRightInd w:val="0"/>
        <w:spacing w:line="480" w:lineRule="auto"/>
        <w:ind w:firstLine="720"/>
        <w:rPr>
          <w:kern w:val="24"/>
        </w:rPr>
      </w:pPr>
      <w:r w:rsidRPr="004B7573">
        <w:rPr>
          <w:kern w:val="24"/>
        </w:rPr>
        <w:t xml:space="preserve">Importantly, our analysis contributes to a process and discourse of inference for particular studies. Quantifying a switch point </w:t>
      </w:r>
      <w:r w:rsidR="00B24A77">
        <w:rPr>
          <w:kern w:val="24"/>
        </w:rPr>
        <w:t xml:space="preserve">and interpreting in terms of sources of bias </w:t>
      </w:r>
      <w:r w:rsidRPr="004B7573">
        <w:rPr>
          <w:kern w:val="24"/>
        </w:rPr>
        <w:t>is a crucial step.  Considered together with the capacity of the study design to reduce or eliminate bias</w:t>
      </w:r>
      <w:r w:rsidR="00B24A77">
        <w:rPr>
          <w:kern w:val="24"/>
        </w:rPr>
        <w:t xml:space="preserve">, our framework can help </w:t>
      </w:r>
      <w:r w:rsidRPr="004B7573">
        <w:rPr>
          <w:kern w:val="24"/>
        </w:rPr>
        <w:t xml:space="preserve">researchers better evaluate </w:t>
      </w:r>
      <w:r w:rsidR="00B24A77">
        <w:rPr>
          <w:kern w:val="24"/>
        </w:rPr>
        <w:t xml:space="preserve">whether </w:t>
      </w:r>
      <w:r w:rsidRPr="004B7573">
        <w:rPr>
          <w:kern w:val="24"/>
        </w:rPr>
        <w:t>bias is large enough to</w:t>
      </w:r>
      <w:r>
        <w:rPr>
          <w:kern w:val="24"/>
        </w:rPr>
        <w:t xml:space="preserve"> </w:t>
      </w:r>
      <w:r w:rsidRPr="004B7573">
        <w:rPr>
          <w:kern w:val="24"/>
        </w:rPr>
        <w:t>invalidate the inference of a study.</w:t>
      </w:r>
    </w:p>
    <w:p w:rsidR="00361095" w:rsidRDefault="000D438D" w:rsidP="00361095">
      <w:pPr>
        <w:widowControl w:val="0"/>
        <w:autoSpaceDE w:val="0"/>
        <w:autoSpaceDN w:val="0"/>
        <w:adjustRightInd w:val="0"/>
        <w:spacing w:line="480" w:lineRule="auto"/>
        <w:ind w:firstLine="720"/>
        <w:rPr>
          <w:kern w:val="24"/>
        </w:rPr>
      </w:pPr>
      <w:r>
        <w:lastRenderedPageBreak/>
        <w:t xml:space="preserve">  </w:t>
      </w:r>
    </w:p>
    <w:p w:rsidR="00AA784C" w:rsidRDefault="002E14C1" w:rsidP="00341986">
      <w:pPr>
        <w:widowControl w:val="0"/>
        <w:autoSpaceDE w:val="0"/>
        <w:autoSpaceDN w:val="0"/>
        <w:adjustRightInd w:val="0"/>
        <w:spacing w:after="120" w:line="480" w:lineRule="auto"/>
        <w:ind w:firstLine="720"/>
        <w:rPr>
          <w:b/>
          <w:color w:val="000000"/>
        </w:rPr>
      </w:pPr>
      <w:r>
        <w:t xml:space="preserve"> </w:t>
      </w:r>
      <w:r>
        <w:rPr>
          <w:kern w:val="24"/>
        </w:rPr>
        <w:t xml:space="preserve">In the next Section we elaborate on the idea of a “switch point” for an inference, and provide a more formal definition of </w:t>
      </w:r>
      <w:r w:rsidR="00C32F99">
        <w:rPr>
          <w:kern w:val="24"/>
        </w:rPr>
        <w:t xml:space="preserve">the robustness of an </w:t>
      </w:r>
      <w:r>
        <w:rPr>
          <w:kern w:val="24"/>
        </w:rPr>
        <w:t xml:space="preserve">inference. </w:t>
      </w:r>
      <w:r w:rsidR="00AA784C">
        <w:rPr>
          <w:kern w:val="24"/>
        </w:rPr>
        <w:t>In Section 3, using Rubin’s causal model</w:t>
      </w:r>
      <w:r w:rsidR="00041066">
        <w:rPr>
          <w:kern w:val="24"/>
        </w:rPr>
        <w:t xml:space="preserve"> (Rub</w:t>
      </w:r>
      <w:r w:rsidR="00041066">
        <w:t>in, 1974)</w:t>
      </w:r>
      <w:r w:rsidR="00AA784C">
        <w:rPr>
          <w:kern w:val="24"/>
        </w:rPr>
        <w:t xml:space="preserve">, we </w:t>
      </w:r>
      <w:r w:rsidR="00E17FF0">
        <w:rPr>
          <w:kern w:val="24"/>
        </w:rPr>
        <w:t xml:space="preserve">develop our </w:t>
      </w:r>
      <w:r w:rsidR="00AA784C">
        <w:rPr>
          <w:kern w:val="24"/>
        </w:rPr>
        <w:t xml:space="preserve">framework in terms of missing data for interpreting the bias necessary to invalidate an inference.   In Section 4 we apply the framework to </w:t>
      </w:r>
      <w:r w:rsidR="00AA784C" w:rsidRPr="004B1266">
        <w:t xml:space="preserve">Borman, Dowling and </w:t>
      </w:r>
      <w:proofErr w:type="spellStart"/>
      <w:r w:rsidR="00AA784C" w:rsidRPr="004B1266">
        <w:t>Schneck</w:t>
      </w:r>
      <w:r w:rsidR="00AA784C">
        <w:t>’s</w:t>
      </w:r>
      <w:proofErr w:type="spellEnd"/>
      <w:r w:rsidR="00AA784C" w:rsidRPr="004B1266">
        <w:t xml:space="preserve"> (2008)</w:t>
      </w:r>
      <w:r w:rsidR="00AA784C">
        <w:t xml:space="preserve"> inference of a positive effect of the Open Court Curriculum from a randomized experiment on a volunteer population, and </w:t>
      </w:r>
      <w:r w:rsidR="00CE7393">
        <w:t xml:space="preserve">to </w:t>
      </w:r>
      <w:r w:rsidR="00AA784C">
        <w:t xml:space="preserve">Hong and </w:t>
      </w:r>
      <w:proofErr w:type="spellStart"/>
      <w:r w:rsidR="00AA784C">
        <w:t>Raudenbush’s</w:t>
      </w:r>
      <w:proofErr w:type="spellEnd"/>
      <w:r w:rsidR="00AA784C">
        <w:t xml:space="preserve"> (2005) inference of a negative effect of kindergarten retention from a random sample in an observational study.  We consider choices for thresholds and then</w:t>
      </w:r>
      <w:r w:rsidR="00AA784C">
        <w:rPr>
          <w:rFonts w:eastAsia="@PMingLiU"/>
        </w:rPr>
        <w:t xml:space="preserve"> </w:t>
      </w:r>
      <w:r w:rsidR="00CB7B14">
        <w:rPr>
          <w:rFonts w:eastAsia="@PMingLiU"/>
        </w:rPr>
        <w:t xml:space="preserve">discuss how our approach informs judgment of inference relative to study design, </w:t>
      </w:r>
      <w:r w:rsidR="00AA784C">
        <w:rPr>
          <w:rFonts w:eastAsia="@PMingLiU"/>
        </w:rPr>
        <w:t>compare with other approaches to quantif</w:t>
      </w:r>
      <w:r w:rsidR="001847AF">
        <w:rPr>
          <w:rFonts w:eastAsia="@PMingLiU"/>
        </w:rPr>
        <w:t>ying discourse about inferences</w:t>
      </w:r>
      <w:r w:rsidR="00CB7B14">
        <w:rPr>
          <w:rFonts w:eastAsia="@PMingLiU"/>
        </w:rPr>
        <w:t xml:space="preserve">, and characterize </w:t>
      </w:r>
      <w:r w:rsidR="001847AF">
        <w:rPr>
          <w:rFonts w:eastAsia="@PMingLiU"/>
        </w:rPr>
        <w:t>other sources of bias</w:t>
      </w:r>
      <w:r w:rsidR="00AA784C">
        <w:rPr>
          <w:rFonts w:eastAsia="@PMingLiU"/>
        </w:rPr>
        <w:t>.</w:t>
      </w:r>
      <w:r w:rsidR="001847AF">
        <w:rPr>
          <w:rFonts w:eastAsia="@PMingLiU"/>
        </w:rPr>
        <w:t xml:space="preserve"> We conclude </w:t>
      </w:r>
      <w:r w:rsidR="00F55573">
        <w:rPr>
          <w:rFonts w:eastAsia="@PMingLiU"/>
        </w:rPr>
        <w:t xml:space="preserve">with </w:t>
      </w:r>
      <w:r w:rsidR="001847AF">
        <w:rPr>
          <w:rFonts w:eastAsia="@PMingLiU"/>
        </w:rPr>
        <w:t xml:space="preserve">implications </w:t>
      </w:r>
      <w:r w:rsidR="001847AF">
        <w:t xml:space="preserve">for </w:t>
      </w:r>
      <w:r w:rsidR="001847AF">
        <w:rPr>
          <w:rFonts w:eastAsia="@PMingLiU"/>
        </w:rPr>
        <w:t>scientific discourse.</w:t>
      </w:r>
    </w:p>
    <w:p w:rsidR="00AA784C" w:rsidRDefault="00AA784C" w:rsidP="00341986">
      <w:pPr>
        <w:widowControl w:val="0"/>
        <w:autoSpaceDE w:val="0"/>
        <w:autoSpaceDN w:val="0"/>
        <w:adjustRightInd w:val="0"/>
        <w:spacing w:after="120" w:line="480" w:lineRule="auto"/>
        <w:jc w:val="center"/>
        <w:rPr>
          <w:i/>
          <w:color w:val="000000"/>
        </w:rPr>
      </w:pPr>
      <w:r>
        <w:rPr>
          <w:b/>
          <w:color w:val="000000"/>
        </w:rPr>
        <w:t>The Robust</w:t>
      </w:r>
      <w:r w:rsidR="00F55573">
        <w:rPr>
          <w:b/>
          <w:color w:val="000000"/>
        </w:rPr>
        <w:t>ness of an Inference: Comparing</w:t>
      </w:r>
      <w:r>
        <w:rPr>
          <w:b/>
          <w:color w:val="000000"/>
        </w:rPr>
        <w:t xml:space="preserve"> </w:t>
      </w:r>
      <w:r w:rsidR="00073B98">
        <w:rPr>
          <w:b/>
          <w:color w:val="000000"/>
        </w:rPr>
        <w:t xml:space="preserve">Evidence against </w:t>
      </w:r>
      <w:r>
        <w:rPr>
          <w:b/>
          <w:color w:val="000000"/>
        </w:rPr>
        <w:t>a Threshold</w:t>
      </w:r>
    </w:p>
    <w:p w:rsidR="00AA784C" w:rsidRDefault="00AA784C" w:rsidP="00AA784C">
      <w:pPr>
        <w:widowControl w:val="0"/>
        <w:spacing w:line="480" w:lineRule="auto"/>
        <w:ind w:firstLine="720"/>
        <w:rPr>
          <w:kern w:val="24"/>
        </w:rPr>
      </w:pPr>
      <w:r>
        <w:rPr>
          <w:kern w:val="24"/>
        </w:rPr>
        <w:t xml:space="preserve">The starting point for our analysis is when one makes an inference about the </w:t>
      </w:r>
      <w:r w:rsidR="00F55573">
        <w:rPr>
          <w:kern w:val="24"/>
        </w:rPr>
        <w:t xml:space="preserve">effect </w:t>
      </w:r>
      <w:r>
        <w:rPr>
          <w:kern w:val="24"/>
        </w:rPr>
        <w:t xml:space="preserve">of a policy because empirical evidence exceeds a given threshold.  </w:t>
      </w:r>
      <w:r w:rsidR="008E1C55">
        <w:rPr>
          <w:kern w:val="24"/>
        </w:rPr>
        <w:t xml:space="preserve">The threshold defines the point at which evidence from a study would make one indifferent to the policy choices.  If the evidence were more in favor of the policy one would choose the policy, if the evidence were less one would not choose the policy. </w:t>
      </w:r>
      <w:r w:rsidR="00DF3CF2">
        <w:rPr>
          <w:kern w:val="24"/>
        </w:rPr>
        <w:t>G</w:t>
      </w:r>
      <w:r>
        <w:t xml:space="preserve">iven the pragmatic emphasis of educational research, the threshold could be </w:t>
      </w:r>
      <w:r>
        <w:rPr>
          <w:kern w:val="24"/>
        </w:rPr>
        <w:t>the effect size where the</w:t>
      </w:r>
      <w:r>
        <w:t xml:space="preserve"> benefits of a policy intervention outweigh its costs </w:t>
      </w:r>
      <w:r w:rsidR="00423CA1">
        <w:t xml:space="preserve">for </w:t>
      </w:r>
      <w:r>
        <w:t xml:space="preserve">either an individual or community.  </w:t>
      </w:r>
      <w:r w:rsidR="00B24A77">
        <w:t xml:space="preserve">For example, a policy-maker might have a specific threshold at which the evidence is strong enough in favor of a curriculum to outweigh the costs of introducing that curriculum into her school. </w:t>
      </w:r>
      <w:r>
        <w:rPr>
          <w:kern w:val="24"/>
        </w:rPr>
        <w:t xml:space="preserve">Or as is commonly the case in academic research, </w:t>
      </w:r>
      <w:r w:rsidR="00F55573">
        <w:rPr>
          <w:kern w:val="24"/>
        </w:rPr>
        <w:t xml:space="preserve">the threshold can be defined by </w:t>
      </w:r>
      <w:r>
        <w:rPr>
          <w:kern w:val="24"/>
        </w:rPr>
        <w:t xml:space="preserve">statistical significance </w:t>
      </w:r>
      <w:r w:rsidR="00F55573">
        <w:rPr>
          <w:kern w:val="24"/>
        </w:rPr>
        <w:t xml:space="preserve">– the threshold is an estimate just large </w:t>
      </w:r>
      <w:r w:rsidR="00F55573">
        <w:rPr>
          <w:kern w:val="24"/>
        </w:rPr>
        <w:lastRenderedPageBreak/>
        <w:t xml:space="preserve">enough to be interpreted as unlikely to occur by chance alone </w:t>
      </w:r>
      <w:r w:rsidR="00B24A77">
        <w:rPr>
          <w:kern w:val="24"/>
        </w:rPr>
        <w:t xml:space="preserve">(for a </w:t>
      </w:r>
      <w:r>
        <w:rPr>
          <w:kern w:val="24"/>
        </w:rPr>
        <w:t>given a null hypothesis</w:t>
      </w:r>
      <w:r w:rsidR="00136D94">
        <w:rPr>
          <w:kern w:val="24"/>
        </w:rPr>
        <w:t>)</w:t>
      </w:r>
      <w:r w:rsidR="00B24A77">
        <w:rPr>
          <w:kern w:val="24"/>
        </w:rPr>
        <w:t>.</w:t>
      </w:r>
    </w:p>
    <w:p w:rsidR="00AA784C" w:rsidRDefault="00AA784C" w:rsidP="00AA784C">
      <w:pPr>
        <w:widowControl w:val="0"/>
        <w:spacing w:line="480" w:lineRule="auto"/>
        <w:ind w:firstLine="720"/>
      </w:pPr>
      <w:r>
        <w:rPr>
          <w:kern w:val="24"/>
        </w:rPr>
        <w:t xml:space="preserve">Regardless of the specific threshold, one can compare </w:t>
      </w:r>
      <w:r w:rsidR="00E86216">
        <w:rPr>
          <w:kern w:val="24"/>
        </w:rPr>
        <w:t xml:space="preserve">an </w:t>
      </w:r>
      <w:r>
        <w:rPr>
          <w:kern w:val="24"/>
        </w:rPr>
        <w:t>estim</w:t>
      </w:r>
      <w:r w:rsidR="00E86216">
        <w:rPr>
          <w:kern w:val="24"/>
        </w:rPr>
        <w:t xml:space="preserve">ate with a threshold to represent </w:t>
      </w:r>
      <w:r>
        <w:rPr>
          <w:kern w:val="24"/>
        </w:rPr>
        <w:t xml:space="preserve">how much bias there must be </w:t>
      </w:r>
      <w:proofErr w:type="gramStart"/>
      <w:r w:rsidR="005C538D">
        <w:rPr>
          <w:kern w:val="24"/>
        </w:rPr>
        <w:t>switch</w:t>
      </w:r>
      <w:proofErr w:type="gramEnd"/>
      <w:r w:rsidR="005C538D">
        <w:rPr>
          <w:kern w:val="24"/>
        </w:rPr>
        <w:t xml:space="preserve"> the inference.  </w:t>
      </w:r>
      <w:r>
        <w:rPr>
          <w:kern w:val="24"/>
        </w:rPr>
        <w:t xml:space="preserve">The more the estimate exceeds the threshold, the more robust the inference with respect to that threshold. </w:t>
      </w:r>
      <w:r w:rsidR="00E86216">
        <w:rPr>
          <w:kern w:val="24"/>
        </w:rPr>
        <w:t xml:space="preserve"> </w:t>
      </w:r>
      <w:r w:rsidR="00F55573">
        <w:rPr>
          <w:kern w:val="24"/>
        </w:rPr>
        <w:t>Therefore, w</w:t>
      </w:r>
      <w:r w:rsidR="00E86216">
        <w:rPr>
          <w:kern w:val="24"/>
        </w:rPr>
        <w:t xml:space="preserve">e refer to the evaluation of the estimate against the threshold as </w:t>
      </w:r>
      <w:r w:rsidR="00B24A77">
        <w:rPr>
          <w:kern w:val="24"/>
        </w:rPr>
        <w:t>the “robustness</w:t>
      </w:r>
      <w:r w:rsidR="00E86216">
        <w:rPr>
          <w:kern w:val="24"/>
        </w:rPr>
        <w:t>”</w:t>
      </w:r>
      <w:r w:rsidR="00B24A77">
        <w:rPr>
          <w:kern w:val="24"/>
        </w:rPr>
        <w:t xml:space="preserve"> of the inference.</w:t>
      </w:r>
    </w:p>
    <w:p w:rsidR="00BC1749" w:rsidRPr="00986255" w:rsidRDefault="00E86216" w:rsidP="00BC1749">
      <w:pPr>
        <w:widowControl w:val="0"/>
        <w:spacing w:line="480" w:lineRule="auto"/>
        <w:ind w:firstLine="720"/>
        <w:rPr>
          <w:kern w:val="24"/>
        </w:rPr>
      </w:pPr>
      <w:r>
        <w:rPr>
          <w:kern w:val="24"/>
        </w:rPr>
        <w:t>C</w:t>
      </w:r>
      <w:r w:rsidR="00AA784C">
        <w:rPr>
          <w:kern w:val="24"/>
        </w:rPr>
        <w:t xml:space="preserve">onsider Figure 1, in which the treatment effects from hypothetical studies </w:t>
      </w:r>
      <w:proofErr w:type="gramStart"/>
      <w:r w:rsidR="00AA784C">
        <w:rPr>
          <w:kern w:val="24"/>
        </w:rPr>
        <w:t>A</w:t>
      </w:r>
      <w:proofErr w:type="gramEnd"/>
      <w:r w:rsidR="00AA784C">
        <w:rPr>
          <w:kern w:val="24"/>
        </w:rPr>
        <w:t xml:space="preserve"> (estimated effect of six) and B (estimated effect of eight) each exceed the threshold </w:t>
      </w:r>
      <w:r w:rsidR="006F12BB">
        <w:rPr>
          <w:kern w:val="24"/>
        </w:rPr>
        <w:t>of four</w:t>
      </w:r>
      <w:r w:rsidR="00AA784C">
        <w:rPr>
          <w:kern w:val="24"/>
        </w:rPr>
        <w:t>. If the threshold of four represents an effect large enough to infer that the benefits of a study outweigh its costs, then in both cases one would draw the inference that the effect of the treatment was strong enough to imp</w:t>
      </w:r>
      <w:r>
        <w:rPr>
          <w:kern w:val="24"/>
        </w:rPr>
        <w:t>lement</w:t>
      </w:r>
      <w:r w:rsidR="00AA784C">
        <w:rPr>
          <w:kern w:val="24"/>
        </w:rPr>
        <w:t xml:space="preserve">. </w:t>
      </w:r>
      <w:r>
        <w:rPr>
          <w:kern w:val="24"/>
        </w:rPr>
        <w:t xml:space="preserve">But the estimated effect </w:t>
      </w:r>
      <w:r w:rsidR="00C32F99">
        <w:rPr>
          <w:kern w:val="24"/>
        </w:rPr>
        <w:t xml:space="preserve">from </w:t>
      </w:r>
      <w:r>
        <w:rPr>
          <w:kern w:val="24"/>
        </w:rPr>
        <w:t xml:space="preserve">study B exceeds the threshold by more than </w:t>
      </w:r>
      <w:r w:rsidR="00C32F99">
        <w:rPr>
          <w:kern w:val="24"/>
        </w:rPr>
        <w:t xml:space="preserve">does the estimate from </w:t>
      </w:r>
      <w:r>
        <w:rPr>
          <w:kern w:val="24"/>
        </w:rPr>
        <w:t xml:space="preserve">A.  </w:t>
      </w:r>
      <w:r w:rsidR="00BC1749" w:rsidRPr="00986255">
        <w:rPr>
          <w:kern w:val="24"/>
        </w:rPr>
        <w:t xml:space="preserve">Assuming that the estimates were obtained with </w:t>
      </w:r>
      <w:r w:rsidR="00BC1749">
        <w:rPr>
          <w:kern w:val="24"/>
        </w:rPr>
        <w:t xml:space="preserve">similar </w:t>
      </w:r>
      <w:r w:rsidR="00BC1749" w:rsidRPr="00986255">
        <w:rPr>
          <w:kern w:val="24"/>
        </w:rPr>
        <w:t>level</w:t>
      </w:r>
      <w:r w:rsidR="00BC1749">
        <w:rPr>
          <w:kern w:val="24"/>
        </w:rPr>
        <w:t>s</w:t>
      </w:r>
      <w:r w:rsidR="00BC1749" w:rsidRPr="00986255">
        <w:rPr>
          <w:kern w:val="24"/>
        </w:rPr>
        <w:t xml:space="preserve"> of control for selection bias in the design </w:t>
      </w:r>
      <w:r w:rsidR="00BC1749">
        <w:rPr>
          <w:kern w:val="24"/>
        </w:rPr>
        <w:t xml:space="preserve">of the study </w:t>
      </w:r>
      <w:r w:rsidR="00BC1749" w:rsidRPr="00986255">
        <w:rPr>
          <w:kern w:val="24"/>
        </w:rPr>
        <w:t xml:space="preserve">and </w:t>
      </w:r>
      <w:r w:rsidR="00BC1749">
        <w:rPr>
          <w:kern w:val="24"/>
        </w:rPr>
        <w:t xml:space="preserve">similar levels </w:t>
      </w:r>
      <w:r w:rsidR="00BC1749" w:rsidRPr="00986255">
        <w:rPr>
          <w:kern w:val="24"/>
        </w:rPr>
        <w:t xml:space="preserve">of precision, the inference from study B is more robust than that from A because a greater proportion of the estimate from B must be due to bias to invalidate the inference. </w:t>
      </w:r>
    </w:p>
    <w:p w:rsidR="00AA784C" w:rsidRDefault="00AA784C" w:rsidP="00073B98">
      <w:pPr>
        <w:widowControl w:val="0"/>
        <w:spacing w:line="480" w:lineRule="auto"/>
        <w:ind w:firstLine="720"/>
        <w:rPr>
          <w:kern w:val="24"/>
        </w:rPr>
      </w:pPr>
    </w:p>
    <w:p w:rsidR="00AA784C" w:rsidRDefault="00AA784C" w:rsidP="00073B98">
      <w:pPr>
        <w:widowControl w:val="0"/>
        <w:pBdr>
          <w:top w:val="single" w:sz="6" w:space="1" w:color="auto"/>
          <w:bottom w:val="single" w:sz="6" w:space="1" w:color="auto"/>
        </w:pBdr>
        <w:spacing w:after="120"/>
        <w:ind w:firstLine="720"/>
        <w:jc w:val="center"/>
        <w:rPr>
          <w:color w:val="000000"/>
        </w:rPr>
      </w:pPr>
      <w:r>
        <w:rPr>
          <w:color w:val="000000"/>
        </w:rPr>
        <w:t>Insert Figure 1 here</w:t>
      </w:r>
    </w:p>
    <w:p w:rsidR="00AA784C" w:rsidRDefault="006F12BB" w:rsidP="00AA784C">
      <w:pPr>
        <w:widowControl w:val="0"/>
        <w:autoSpaceDE w:val="0"/>
        <w:autoSpaceDN w:val="0"/>
        <w:adjustRightInd w:val="0"/>
        <w:spacing w:line="480" w:lineRule="auto"/>
        <w:ind w:firstLine="720"/>
        <w:rPr>
          <w:color w:val="000000"/>
        </w:rPr>
      </w:pPr>
      <w:r>
        <w:rPr>
          <w:kern w:val="24"/>
        </w:rPr>
        <w:t>T</w:t>
      </w:r>
      <w:r w:rsidR="00AA784C">
        <w:rPr>
          <w:color w:val="000000"/>
        </w:rPr>
        <w:t xml:space="preserve">he relative robustness of </w:t>
      </w:r>
      <w:r>
        <w:rPr>
          <w:color w:val="000000"/>
        </w:rPr>
        <w:t>an inference</w:t>
      </w:r>
      <w:r w:rsidR="00AA784C">
        <w:rPr>
          <w:color w:val="000000"/>
        </w:rPr>
        <w:t xml:space="preserve"> can be </w:t>
      </w:r>
      <w:r w:rsidR="00423CA1">
        <w:rPr>
          <w:color w:val="000000"/>
        </w:rPr>
        <w:t xml:space="preserve">explicitly </w:t>
      </w:r>
      <w:r w:rsidR="00AA784C">
        <w:rPr>
          <w:color w:val="000000"/>
        </w:rPr>
        <w:t xml:space="preserve">quantified in terms of the difference between </w:t>
      </w:r>
      <w:r>
        <w:rPr>
          <w:color w:val="000000"/>
        </w:rPr>
        <w:t xml:space="preserve">an </w:t>
      </w:r>
      <w:r w:rsidR="00AA784C">
        <w:rPr>
          <w:color w:val="000000"/>
        </w:rPr>
        <w:t xml:space="preserve">estimate and </w:t>
      </w:r>
      <w:r>
        <w:rPr>
          <w:color w:val="000000"/>
        </w:rPr>
        <w:t xml:space="preserve">a </w:t>
      </w:r>
      <w:r w:rsidR="00AA784C">
        <w:rPr>
          <w:color w:val="000000"/>
        </w:rPr>
        <w:t xml:space="preserve">threshold, expressed relative to the size of the estimate: </w:t>
      </w:r>
    </w:p>
    <w:p w:rsidR="00AA784C" w:rsidRPr="001B5E86" w:rsidRDefault="00AA784C" w:rsidP="00AA784C">
      <w:pPr>
        <w:widowControl w:val="0"/>
        <w:autoSpaceDE w:val="0"/>
        <w:autoSpaceDN w:val="0"/>
        <w:adjustRightInd w:val="0"/>
        <w:spacing w:line="480" w:lineRule="auto"/>
        <w:ind w:firstLine="720"/>
        <w:rPr>
          <w:color w:val="000000"/>
        </w:rPr>
      </w:pPr>
      <w:r>
        <w:rPr>
          <w:color w:val="000000"/>
        </w:rPr>
        <w:t>(</w:t>
      </w:r>
      <w:r>
        <w:rPr>
          <w:i/>
          <w:color w:val="000000"/>
        </w:rPr>
        <w:t>estimate−threshold</w:t>
      </w:r>
      <w:r>
        <w:rPr>
          <w:color w:val="000000"/>
        </w:rPr>
        <w:t>)/</w:t>
      </w:r>
      <w:r>
        <w:rPr>
          <w:i/>
          <w:color w:val="000000"/>
        </w:rPr>
        <w:t>estimate</w:t>
      </w:r>
      <w:r>
        <w:rPr>
          <w:color w:val="000000"/>
        </w:rPr>
        <w:t xml:space="preserve"> = 1-</w:t>
      </w:r>
      <w:r>
        <w:rPr>
          <w:i/>
          <w:color w:val="000000"/>
        </w:rPr>
        <w:t>threshold</w:t>
      </w:r>
      <w:r>
        <w:rPr>
          <w:color w:val="000000"/>
        </w:rPr>
        <w:t>/</w:t>
      </w:r>
      <w:r>
        <w:rPr>
          <w:i/>
          <w:color w:val="000000"/>
        </w:rPr>
        <w:t>estimate</w:t>
      </w:r>
      <w:r>
        <w:rPr>
          <w:color w:val="000000"/>
        </w:rPr>
        <w:t>. (1)</w:t>
      </w:r>
    </w:p>
    <w:p w:rsidR="00AA784C" w:rsidRDefault="00423CA1" w:rsidP="00423CA1">
      <w:pPr>
        <w:widowControl w:val="0"/>
        <w:autoSpaceDE w:val="0"/>
        <w:autoSpaceDN w:val="0"/>
        <w:adjustRightInd w:val="0"/>
        <w:spacing w:line="480" w:lineRule="auto"/>
        <w:ind w:firstLine="720"/>
        <w:rPr>
          <w:color w:val="000000"/>
        </w:rPr>
      </w:pPr>
      <w:r>
        <w:rPr>
          <w:color w:val="000000"/>
        </w:rPr>
        <w:t xml:space="preserve">Equation (1) simply implies that the robustness of an inference is a function of the percentage of the estimate that exceeds the threshold. </w:t>
      </w:r>
      <w:r w:rsidR="00AA784C">
        <w:rPr>
          <w:color w:val="000000"/>
        </w:rPr>
        <w:t>For study A,</w:t>
      </w:r>
      <w:r>
        <w:rPr>
          <w:color w:val="000000"/>
        </w:rPr>
        <w:t xml:space="preserve"> (</w:t>
      </w:r>
      <w:r w:rsidR="00AA784C">
        <w:rPr>
          <w:i/>
          <w:color w:val="000000"/>
        </w:rPr>
        <w:t>estimate−threshold</w:t>
      </w:r>
      <w:r w:rsidR="00AA784C">
        <w:rPr>
          <w:color w:val="000000"/>
        </w:rPr>
        <w:t>)/</w:t>
      </w:r>
      <w:r w:rsidR="00AA784C">
        <w:rPr>
          <w:i/>
          <w:color w:val="000000"/>
        </w:rPr>
        <w:t>estimate</w:t>
      </w:r>
      <w:proofErr w:type="gramStart"/>
      <w:r>
        <w:rPr>
          <w:color w:val="000000"/>
        </w:rPr>
        <w:t>=</w:t>
      </w:r>
      <w:r w:rsidR="00AA784C">
        <w:rPr>
          <w:color w:val="000000"/>
        </w:rPr>
        <w:t>(</w:t>
      </w:r>
      <w:proofErr w:type="gramEnd"/>
      <w:r w:rsidR="00AA784C">
        <w:rPr>
          <w:color w:val="000000"/>
        </w:rPr>
        <w:t xml:space="preserve">6−4)/6=1/3, or 33%.  Thus 33% </w:t>
      </w:r>
      <w:r w:rsidR="00734BFF">
        <w:rPr>
          <w:color w:val="000000"/>
        </w:rPr>
        <w:t>of the estimate from A would have to be due to bias to invalidate the inference.  In contrast, 50% of the estimate for study B would have to be due to bias to invalidate the inference (8-4)/8=50%.</w:t>
      </w:r>
    </w:p>
    <w:p w:rsidR="00AA784C" w:rsidRDefault="006F12BB" w:rsidP="00AA784C">
      <w:pPr>
        <w:widowControl w:val="0"/>
        <w:spacing w:line="480" w:lineRule="auto"/>
        <w:ind w:firstLine="720"/>
      </w:pPr>
      <w:r>
        <w:lastRenderedPageBreak/>
        <w:t xml:space="preserve">More formally, </w:t>
      </w:r>
      <w:r w:rsidR="00AA784C">
        <w:t>define a population effect as δ, the estimated effect as</w:t>
      </w:r>
      <w:r w:rsidR="00423CA1" w:rsidRPr="008A0275">
        <w:rPr>
          <w:position w:val="-6"/>
          <w:sz w:val="20"/>
        </w:rPr>
        <w:object w:dxaOrig="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7.25pt" o:ole="" fillcolor="window">
            <v:imagedata r:id="rId13" o:title=""/>
          </v:shape>
          <o:OLEObject Type="Embed" ProgID="Equation.DSMT4" ShapeID="_x0000_i1025" DrawAspect="Content" ObjectID="_1478976142" r:id="rId14"/>
        </w:object>
      </w:r>
      <w:r w:rsidR="00AA784C">
        <w:t>, and the threshold for making an inference as δ</w:t>
      </w:r>
      <w:r w:rsidR="00AA784C">
        <w:rPr>
          <w:vertAlign w:val="superscript"/>
        </w:rPr>
        <w:t>#</w:t>
      </w:r>
      <w:r w:rsidR="00AA784C">
        <w:t>.  For example, to account for sampling error δ</w:t>
      </w:r>
      <w:r w:rsidR="00AA784C">
        <w:rPr>
          <w:vertAlign w:val="superscript"/>
        </w:rPr>
        <w:t xml:space="preserve"> #</w:t>
      </w:r>
      <w:r w:rsidR="00AA784C">
        <w:t xml:space="preserve"> might be the threshold for statistical significance (δ</w:t>
      </w:r>
      <w:r w:rsidR="00AA784C">
        <w:rPr>
          <w:vertAlign w:val="superscript"/>
        </w:rPr>
        <w:t>#</w:t>
      </w:r>
      <w:r w:rsidR="00AA784C">
        <w:t xml:space="preserve"> </w:t>
      </w:r>
      <w:r w:rsidR="00662AF2">
        <w:t xml:space="preserve">is associated with a p value of </w:t>
      </w:r>
      <w:r w:rsidR="00AA784C">
        <w:t>exactly .05). An inference about a positive effect is invalid if:</w:t>
      </w:r>
    </w:p>
    <w:p w:rsidR="00AA784C" w:rsidRDefault="00AA784C" w:rsidP="00AA784C">
      <w:pPr>
        <w:widowControl w:val="0"/>
        <w:spacing w:line="480" w:lineRule="auto"/>
        <w:ind w:firstLine="720"/>
      </w:pPr>
      <w:r>
        <w:t xml:space="preserve"> </w:t>
      </w:r>
      <w:r w:rsidRPr="008A0275">
        <w:rPr>
          <w:position w:val="-6"/>
          <w:sz w:val="20"/>
        </w:rPr>
        <w:object w:dxaOrig="180" w:dyaOrig="340">
          <v:shape id="_x0000_i1026" type="#_x0000_t75" style="width:9pt;height:17.25pt" o:ole="" fillcolor="window">
            <v:imagedata r:id="rId15" o:title=""/>
          </v:shape>
          <o:OLEObject Type="Embed" ProgID="Equation.DSMT4" ShapeID="_x0000_i1026" DrawAspect="Content" ObjectID="_1478976143" r:id="rId16"/>
        </w:object>
      </w:r>
      <w:r>
        <w:t xml:space="preserve"> &gt; </w:t>
      </w:r>
      <w:proofErr w:type="gramStart"/>
      <w:r>
        <w:t>δ</w:t>
      </w:r>
      <w:proofErr w:type="gramEnd"/>
      <w:r>
        <w:rPr>
          <w:vertAlign w:val="superscript"/>
        </w:rPr>
        <w:t xml:space="preserve"> #</w:t>
      </w:r>
      <w:r>
        <w:t xml:space="preserve"> &gt; </w:t>
      </w:r>
      <w:r w:rsidRPr="00ED11DE">
        <w:t>δ</w:t>
      </w:r>
      <w:r>
        <w:t>. (2)</w:t>
      </w:r>
    </w:p>
    <w:p w:rsidR="00AA784C" w:rsidRDefault="00AA784C" w:rsidP="00AA784C">
      <w:pPr>
        <w:widowControl w:val="0"/>
        <w:spacing w:line="480" w:lineRule="auto"/>
      </w:pPr>
      <w:r>
        <w:t>That is, an inference is invalid if the estimate is greater than the threshold while the population value is less than the threshold (a symmetric argument applies for negative effect</w:t>
      </w:r>
      <w:r w:rsidR="00662AF2">
        <w:t>s).  For example, the inference</w:t>
      </w:r>
      <w:r>
        <w:t xml:space="preserve"> from </w:t>
      </w:r>
      <w:r w:rsidR="00734BFF">
        <w:t>hypothetical study</w:t>
      </w:r>
      <w:r>
        <w:t xml:space="preserve"> A </w:t>
      </w:r>
      <w:r w:rsidR="00734BFF">
        <w:t xml:space="preserve">is </w:t>
      </w:r>
      <w:r>
        <w:t xml:space="preserve">invalid if </w:t>
      </w:r>
      <w:r w:rsidR="00734BFF">
        <w:t>6 &gt; 4 &gt;</w:t>
      </w:r>
      <w:r w:rsidR="00734BFF" w:rsidRPr="00ED11DE">
        <w:t>δ</w:t>
      </w:r>
      <w:r>
        <w:t>.</w:t>
      </w:r>
      <w:r w:rsidRPr="005955A7">
        <w:t xml:space="preserve"> </w:t>
      </w:r>
    </w:p>
    <w:p w:rsidR="00AA784C" w:rsidRDefault="00AA784C" w:rsidP="00AA784C">
      <w:pPr>
        <w:widowControl w:val="0"/>
        <w:spacing w:line="480" w:lineRule="auto"/>
        <w:ind w:firstLine="720"/>
      </w:pPr>
      <w:r>
        <w:t xml:space="preserve">The expression in (2) can be used to quantify how much bias there must be in an estimate to invalidate an inference. Subtracting </w:t>
      </w:r>
      <w:r w:rsidRPr="008A0275">
        <w:rPr>
          <w:position w:val="-6"/>
          <w:sz w:val="20"/>
        </w:rPr>
        <w:object w:dxaOrig="180" w:dyaOrig="340">
          <v:shape id="_x0000_i1027" type="#_x0000_t75" style="width:9pt;height:17.25pt" o:ole="" fillcolor="window">
            <v:imagedata r:id="rId15" o:title=""/>
          </v:shape>
          <o:OLEObject Type="Embed" ProgID="Equation.DSMT4" ShapeID="_x0000_i1027" DrawAspect="Content" ObjectID="_1478976144" r:id="rId17"/>
        </w:object>
      </w:r>
      <w:r>
        <w:t xml:space="preserve"> from each side in (2) and multiplying by -1 </w:t>
      </w:r>
      <w:proofErr w:type="gramStart"/>
      <w:r>
        <w:t>yields</w:t>
      </w:r>
      <w:proofErr w:type="gramEnd"/>
      <w:r>
        <w:t>:</w:t>
      </w:r>
    </w:p>
    <w:p w:rsidR="00AA784C" w:rsidRDefault="00AA784C" w:rsidP="00AA784C">
      <w:pPr>
        <w:widowControl w:val="0"/>
        <w:spacing w:line="480" w:lineRule="auto"/>
        <w:ind w:firstLine="720"/>
      </w:pPr>
      <w:r w:rsidRPr="008A0275">
        <w:rPr>
          <w:position w:val="-6"/>
          <w:sz w:val="20"/>
        </w:rPr>
        <w:object w:dxaOrig="180" w:dyaOrig="340">
          <v:shape id="_x0000_i1028" type="#_x0000_t75" style="width:9pt;height:17.25pt" o:ole="" fillcolor="window">
            <v:imagedata r:id="rId15" o:title=""/>
          </v:shape>
          <o:OLEObject Type="Embed" ProgID="Equation.DSMT4" ShapeID="_x0000_i1028" DrawAspect="Content" ObjectID="_1478976145" r:id="rId18"/>
        </w:object>
      </w:r>
      <w:proofErr w:type="gramStart"/>
      <w:r>
        <w:t>−</w:t>
      </w:r>
      <w:r w:rsidRPr="00ED11DE">
        <w:t>δ</w:t>
      </w:r>
      <w:r>
        <w:t xml:space="preserve">&gt; </w:t>
      </w:r>
      <w:r w:rsidRPr="008A0275">
        <w:rPr>
          <w:position w:val="-6"/>
          <w:sz w:val="20"/>
        </w:rPr>
        <w:object w:dxaOrig="180" w:dyaOrig="340">
          <v:shape id="_x0000_i1029" type="#_x0000_t75" style="width:9pt;height:17.25pt" o:ole="" fillcolor="window">
            <v:imagedata r:id="rId15" o:title=""/>
          </v:shape>
          <o:OLEObject Type="Embed" ProgID="Equation.DSMT4" ShapeID="_x0000_i1029" DrawAspect="Content" ObjectID="_1478976146" r:id="rId19"/>
        </w:object>
      </w:r>
      <w:r>
        <w:t>−</w:t>
      </w:r>
      <w:r w:rsidRPr="005B5508">
        <w:t xml:space="preserve"> </w:t>
      </w:r>
      <w:r>
        <w:t>δ</w:t>
      </w:r>
      <w:r>
        <w:rPr>
          <w:vertAlign w:val="superscript"/>
        </w:rPr>
        <w:t xml:space="preserve"> #</w:t>
      </w:r>
      <w:r>
        <w:t xml:space="preserve"> &gt; 0.</w:t>
      </w:r>
      <w:proofErr w:type="gramEnd"/>
      <w:r>
        <w:t xml:space="preserve">  </w:t>
      </w:r>
    </w:p>
    <w:p w:rsidR="00AA784C" w:rsidRPr="00ED11DE" w:rsidRDefault="00AA784C" w:rsidP="00AA784C">
      <w:pPr>
        <w:widowControl w:val="0"/>
        <w:spacing w:line="480" w:lineRule="auto"/>
      </w:pPr>
      <w:r>
        <w:t xml:space="preserve">Defining bias as β= </w:t>
      </w:r>
      <w:r w:rsidR="00E01599" w:rsidRPr="008A0275">
        <w:rPr>
          <w:position w:val="-6"/>
          <w:sz w:val="20"/>
        </w:rPr>
        <w:object w:dxaOrig="180" w:dyaOrig="340">
          <v:shape id="_x0000_i1030" type="#_x0000_t75" style="width:9pt;height:17.25pt" o:ole="" fillcolor="window">
            <v:imagedata r:id="rId13" o:title=""/>
          </v:shape>
          <o:OLEObject Type="Embed" ProgID="Equation.DSMT4" ShapeID="_x0000_i1030" DrawAspect="Content" ObjectID="_1478976147" r:id="rId20"/>
        </w:object>
      </w:r>
      <w:r>
        <w:t>−</w:t>
      </w:r>
      <w:r w:rsidRPr="00ED11DE">
        <w:t>δ</w:t>
      </w:r>
      <w:r>
        <w:t>, (2) implies an estimate is invalid if and only if:</w:t>
      </w:r>
    </w:p>
    <w:p w:rsidR="00AA784C" w:rsidRDefault="00AA784C" w:rsidP="00AA784C">
      <w:pPr>
        <w:widowControl w:val="0"/>
        <w:spacing w:line="480" w:lineRule="auto"/>
        <w:ind w:firstLine="720"/>
      </w:pPr>
      <w:proofErr w:type="gramStart"/>
      <w:r>
        <w:t>β &gt;</w:t>
      </w:r>
      <w:r w:rsidRPr="008A0275">
        <w:rPr>
          <w:position w:val="-6"/>
          <w:sz w:val="20"/>
        </w:rPr>
        <w:object w:dxaOrig="180" w:dyaOrig="340">
          <v:shape id="_x0000_i1031" type="#_x0000_t75" style="width:9pt;height:17.25pt" o:ole="" fillcolor="window">
            <v:imagedata r:id="rId15" o:title=""/>
          </v:shape>
          <o:OLEObject Type="Embed" ProgID="Equation.DSMT4" ShapeID="_x0000_i1031" DrawAspect="Content" ObjectID="_1478976148" r:id="rId21"/>
        </w:object>
      </w:r>
      <w:r>
        <w:t>−</w:t>
      </w:r>
      <w:r w:rsidRPr="005B5508">
        <w:t xml:space="preserve"> </w:t>
      </w:r>
      <w:r>
        <w:t>δ</w:t>
      </w:r>
      <w:r>
        <w:rPr>
          <w:vertAlign w:val="superscript"/>
        </w:rPr>
        <w:t xml:space="preserve"> #</w:t>
      </w:r>
      <w:r>
        <w:t>.</w:t>
      </w:r>
      <w:proofErr w:type="gramEnd"/>
      <w:r>
        <w:t xml:space="preserve">  (3)</w:t>
      </w:r>
    </w:p>
    <w:p w:rsidR="00AA784C" w:rsidRDefault="00AA784C" w:rsidP="00AA784C">
      <w:pPr>
        <w:widowControl w:val="0"/>
        <w:spacing w:line="480" w:lineRule="auto"/>
      </w:pPr>
      <w:r>
        <w:t xml:space="preserve">An inference is invalid if bias accounts for more than the difference between the estimate and the threshold.  </w:t>
      </w:r>
    </w:p>
    <w:p w:rsidR="00AA784C" w:rsidRDefault="00AA784C" w:rsidP="00B24A77">
      <w:pPr>
        <w:widowControl w:val="0"/>
        <w:spacing w:line="480" w:lineRule="auto"/>
        <w:ind w:firstLine="720"/>
      </w:pPr>
      <w:r>
        <w:t>To express (3) as a proportion of the original estimate, divide the right hand side by</w:t>
      </w:r>
      <w:r w:rsidRPr="008A0275">
        <w:rPr>
          <w:position w:val="-6"/>
          <w:sz w:val="20"/>
        </w:rPr>
        <w:object w:dxaOrig="180" w:dyaOrig="340">
          <v:shape id="_x0000_i1032" type="#_x0000_t75" style="width:9pt;height:17.25pt" o:ole="" fillcolor="window">
            <v:imagedata r:id="rId15" o:title=""/>
          </v:shape>
          <o:OLEObject Type="Embed" ProgID="Equation.DSMT4" ShapeID="_x0000_i1032" DrawAspect="Content" ObjectID="_1478976149" r:id="rId22"/>
        </w:object>
      </w:r>
      <w:r>
        <w:t>:</w:t>
      </w:r>
    </w:p>
    <w:p w:rsidR="00AA784C" w:rsidRDefault="00AA784C" w:rsidP="00AA784C">
      <w:pPr>
        <w:widowControl w:val="0"/>
        <w:spacing w:line="480" w:lineRule="auto"/>
      </w:pPr>
      <w:r>
        <w:t>(</w:t>
      </w:r>
      <w:r w:rsidRPr="008A0275">
        <w:rPr>
          <w:position w:val="-6"/>
          <w:sz w:val="20"/>
        </w:rPr>
        <w:object w:dxaOrig="180" w:dyaOrig="340">
          <v:shape id="_x0000_i1033" type="#_x0000_t75" style="width:9pt;height:17.25pt" o:ole="" fillcolor="window">
            <v:imagedata r:id="rId15" o:title=""/>
          </v:shape>
          <o:OLEObject Type="Embed" ProgID="Equation.DSMT4" ShapeID="_x0000_i1033" DrawAspect="Content" ObjectID="_1478976150" r:id="rId23"/>
        </w:object>
      </w:r>
      <w:r>
        <w:t>−δ</w:t>
      </w:r>
      <w:r w:rsidRPr="00C32414">
        <w:rPr>
          <w:vertAlign w:val="superscript"/>
        </w:rPr>
        <w:t>#</w:t>
      </w:r>
      <w:r>
        <w:t>)/</w:t>
      </w:r>
      <w:r w:rsidRPr="00C32414">
        <w:rPr>
          <w:position w:val="-6"/>
          <w:sz w:val="20"/>
        </w:rPr>
        <w:t xml:space="preserve"> </w:t>
      </w:r>
      <w:r w:rsidRPr="008A0275">
        <w:rPr>
          <w:position w:val="-6"/>
          <w:sz w:val="20"/>
        </w:rPr>
        <w:object w:dxaOrig="180" w:dyaOrig="340">
          <v:shape id="_x0000_i1034" type="#_x0000_t75" style="width:9pt;height:17.25pt" o:ole="" fillcolor="window">
            <v:imagedata r:id="rId15" o:title=""/>
          </v:shape>
          <o:OLEObject Type="Embed" ProgID="Equation.DSMT4" ShapeID="_x0000_i1034" DrawAspect="Content" ObjectID="_1478976151" r:id="rId24"/>
        </w:object>
      </w:r>
      <w:r w:rsidRPr="00E7561A">
        <w:t xml:space="preserve"> </w:t>
      </w:r>
      <w:r>
        <w:t>=1</w:t>
      </w:r>
      <w:r w:rsidRPr="00C32414">
        <w:t xml:space="preserve"> </w:t>
      </w:r>
      <w:r>
        <w:t>−δ</w:t>
      </w:r>
      <w:r w:rsidRPr="00C32414">
        <w:rPr>
          <w:vertAlign w:val="superscript"/>
        </w:rPr>
        <w:t>#</w:t>
      </w:r>
      <w:proofErr w:type="gramStart"/>
      <w:r>
        <w:t>/</w:t>
      </w:r>
      <w:r w:rsidRPr="00C32414">
        <w:rPr>
          <w:position w:val="-6"/>
          <w:sz w:val="20"/>
        </w:rPr>
        <w:t xml:space="preserve"> </w:t>
      </w:r>
      <w:proofErr w:type="gramEnd"/>
      <w:r w:rsidRPr="008A0275">
        <w:rPr>
          <w:position w:val="-6"/>
          <w:sz w:val="20"/>
        </w:rPr>
        <w:object w:dxaOrig="180" w:dyaOrig="340">
          <v:shape id="_x0000_i1035" type="#_x0000_t75" style="width:9pt;height:17.25pt" o:ole="" fillcolor="window">
            <v:imagedata r:id="rId15" o:title=""/>
          </v:shape>
          <o:OLEObject Type="Embed" ProgID="Equation.DSMT4" ShapeID="_x0000_i1035" DrawAspect="Content" ObjectID="_1478976152" r:id="rId25"/>
        </w:object>
      </w:r>
      <w:r w:rsidR="009F6D99">
        <w:rPr>
          <w:vertAlign w:val="subscript"/>
        </w:rPr>
        <w:t xml:space="preserve">.  </w:t>
      </w:r>
      <w:r w:rsidR="009F6D99">
        <w:t>(4)</w:t>
      </w:r>
    </w:p>
    <w:p w:rsidR="00B24A77" w:rsidRDefault="00AA784C" w:rsidP="00A63702">
      <w:pPr>
        <w:widowControl w:val="0"/>
        <w:autoSpaceDE w:val="0"/>
        <w:autoSpaceDN w:val="0"/>
        <w:adjustRightInd w:val="0"/>
        <w:spacing w:after="120" w:line="480" w:lineRule="auto"/>
        <w:rPr>
          <w:color w:val="000000"/>
        </w:rPr>
      </w:pPr>
      <w:r>
        <w:rPr>
          <w:color w:val="000000"/>
        </w:rPr>
        <w:t xml:space="preserve">This is equivalent to (1); the proportion of bias necessary to invalidate the inference is equivalent to the graphical comparison of an estimate to a threshold for inference. </w:t>
      </w:r>
      <w:r>
        <w:t xml:space="preserve">If an unbiased test statistic is used and assuming no random sampling error, (3) and (4) express how much bias due to the design components there must be to invalidate </w:t>
      </w:r>
      <w:r w:rsidR="00662AF2">
        <w:t xml:space="preserve">an </w:t>
      </w:r>
      <w:r>
        <w:t>inference based on</w:t>
      </w:r>
      <w:r w:rsidRPr="008A0275">
        <w:rPr>
          <w:position w:val="-6"/>
          <w:sz w:val="20"/>
        </w:rPr>
        <w:object w:dxaOrig="180" w:dyaOrig="340">
          <v:shape id="_x0000_i1036" type="#_x0000_t75" style="width:9pt;height:17.25pt" o:ole="" fillcolor="window">
            <v:imagedata r:id="rId15" o:title=""/>
          </v:shape>
          <o:OLEObject Type="Embed" ProgID="Equation.DSMT4" ShapeID="_x0000_i1036" DrawAspect="Content" ObjectID="_1478976153" r:id="rId26"/>
        </w:object>
      </w:r>
      <w:r>
        <w:t>.</w:t>
      </w:r>
      <w:r w:rsidR="00E01599">
        <w:t xml:space="preserve"> </w:t>
      </w:r>
      <w:r>
        <w:rPr>
          <w:color w:val="000000"/>
        </w:rPr>
        <w:t xml:space="preserve">The challenge then is to interpret the expressions in (3) and (4) in a framework that can </w:t>
      </w:r>
      <w:r w:rsidR="00C32F99">
        <w:rPr>
          <w:color w:val="000000"/>
        </w:rPr>
        <w:t xml:space="preserve">be applied to observational </w:t>
      </w:r>
      <w:r w:rsidR="00C32F99">
        <w:rPr>
          <w:color w:val="000000"/>
        </w:rPr>
        <w:lastRenderedPageBreak/>
        <w:t>studies or randomized experiments</w:t>
      </w:r>
      <w:r>
        <w:rPr>
          <w:color w:val="000000"/>
        </w:rPr>
        <w:t xml:space="preserve">.  </w:t>
      </w:r>
      <w:r w:rsidR="009F6D99">
        <w:rPr>
          <w:color w:val="000000"/>
        </w:rPr>
        <w:t xml:space="preserve">For this we turn to Rubin’s causal model in the next Section. </w:t>
      </w:r>
    </w:p>
    <w:p w:rsidR="00AA784C" w:rsidRPr="00B553CE" w:rsidRDefault="00AA784C" w:rsidP="00AA784C">
      <w:pPr>
        <w:widowControl w:val="0"/>
        <w:autoSpaceDE w:val="0"/>
        <w:autoSpaceDN w:val="0"/>
        <w:adjustRightInd w:val="0"/>
        <w:spacing w:line="480" w:lineRule="auto"/>
        <w:jc w:val="center"/>
        <w:rPr>
          <w:b/>
          <w:color w:val="000000"/>
        </w:rPr>
      </w:pPr>
      <w:r>
        <w:rPr>
          <w:b/>
          <w:color w:val="000000"/>
        </w:rPr>
        <w:t xml:space="preserve">Rubin’s Causal Model </w:t>
      </w:r>
      <w:r w:rsidR="009F6D99">
        <w:rPr>
          <w:b/>
          <w:color w:val="000000"/>
        </w:rPr>
        <w:t xml:space="preserve">(RCM) </w:t>
      </w:r>
      <w:r>
        <w:rPr>
          <w:b/>
          <w:color w:val="000000"/>
        </w:rPr>
        <w:t>and Sources of Bias</w:t>
      </w:r>
    </w:p>
    <w:p w:rsidR="00AA784C" w:rsidRPr="00B553CE" w:rsidRDefault="00AA784C" w:rsidP="00AA784C">
      <w:pPr>
        <w:widowControl w:val="0"/>
        <w:autoSpaceDE w:val="0"/>
        <w:autoSpaceDN w:val="0"/>
        <w:adjustRightInd w:val="0"/>
        <w:spacing w:line="480" w:lineRule="auto"/>
        <w:jc w:val="center"/>
        <w:rPr>
          <w:i/>
          <w:color w:val="000000"/>
        </w:rPr>
      </w:pPr>
      <w:r>
        <w:rPr>
          <w:i/>
          <w:color w:val="000000"/>
        </w:rPr>
        <w:t>Potential Outcomes</w:t>
      </w:r>
    </w:p>
    <w:p w:rsidR="00AA784C" w:rsidRDefault="00AA784C" w:rsidP="00AA784C">
      <w:pPr>
        <w:spacing w:line="480" w:lineRule="auto"/>
        <w:ind w:firstLine="720"/>
      </w:pPr>
      <w:r>
        <w:rPr>
          <w:color w:val="000000"/>
        </w:rPr>
        <w:t xml:space="preserve">RCM is </w:t>
      </w:r>
      <w:r>
        <w:t>best understood through the counterfactual sequence: I</w:t>
      </w:r>
      <w:r w:rsidR="009F6D99">
        <w:t xml:space="preserve"> had</w:t>
      </w:r>
      <w:r>
        <w:t xml:space="preserve"> a headache; I t</w:t>
      </w:r>
      <w:r w:rsidR="009F6D99">
        <w:t xml:space="preserve">ook </w:t>
      </w:r>
      <w:r>
        <w:t xml:space="preserve">an aspirin; the headache </w:t>
      </w:r>
      <w:r w:rsidR="009F6D99">
        <w:t xml:space="preserve">went </w:t>
      </w:r>
      <w:r>
        <w:t xml:space="preserve">away. Is it because I took the aspirin?  One will never know because we do not know what I would have experienced if I had not taken the aspirin.  One of the potential outcomes I could have experienced by either taking or not taking an aspirin will be counter to fact, </w:t>
      </w:r>
      <w:r w:rsidR="009F6D99">
        <w:t xml:space="preserve">termed </w:t>
      </w:r>
      <w:r>
        <w:t xml:space="preserve">the counterfactual within RCM (for a history and review of RCM see </w:t>
      </w:r>
      <w:r w:rsidR="00E01599">
        <w:t>Holland, 1986</w:t>
      </w:r>
      <w:r w:rsidR="004A65DE">
        <w:t xml:space="preserve">; or </w:t>
      </w:r>
      <w:r>
        <w:t xml:space="preserve">Morgan &amp; Winship, 2007, chapter 2).  In one of the examples in this study, it is impossible to observe a single student who is simultaneously retained in kindergarten and promoted into the first grade. </w:t>
      </w:r>
    </w:p>
    <w:p w:rsidR="00AA784C" w:rsidRDefault="00AA784C" w:rsidP="00AA784C">
      <w:pPr>
        <w:spacing w:line="480" w:lineRule="auto"/>
      </w:pPr>
      <w:r>
        <w:tab/>
        <w:t>Formally expressing the counterfactual in terms of potential outcomes shows how RCM</w:t>
      </w:r>
      <w:r>
        <w:rPr>
          <w:vanish/>
        </w:rPr>
        <w:t>) n bed as the er to fact.  erpreted using ated effect.lid ofsive leavn  Instead, Frank'absorb impact, where absorption=tm</w:t>
      </w:r>
      <w:r>
        <w:t xml:space="preserve"> can be applied to represent bias from non-random assignment to treatments or non-random sampling. Define the potential outcome </w:t>
      </w:r>
      <w:r w:rsidRPr="008E6051">
        <w:rPr>
          <w:position w:val="-12"/>
          <w:sz w:val="20"/>
        </w:rPr>
        <w:object w:dxaOrig="279" w:dyaOrig="380">
          <v:shape id="_x0000_i1037" type="#_x0000_t75" style="width:14.25pt;height:18.75pt" o:ole="" fillcolor="window">
            <v:imagedata r:id="rId27" o:title=""/>
          </v:shape>
          <o:OLEObject Type="Embed" ProgID="Equation.DSMT4" ShapeID="_x0000_i1037" DrawAspect="Content" ObjectID="_1478976154" r:id="rId28"/>
        </w:object>
      </w:r>
      <w:r>
        <w:rPr>
          <w:position w:val="-12"/>
          <w:sz w:val="20"/>
        </w:rPr>
        <w:t xml:space="preserve"> </w:t>
      </w:r>
      <w:r>
        <w:t xml:space="preserve">as the value on the dependent variable </w:t>
      </w:r>
      <w:r w:rsidR="004C5543">
        <w:t xml:space="preserve">(e.g., reading achievement) </w:t>
      </w:r>
      <w:r>
        <w:t xml:space="preserve">that would be observed if unit </w:t>
      </w:r>
      <w:r>
        <w:rPr>
          <w:i/>
          <w:iCs/>
        </w:rPr>
        <w:t>i</w:t>
      </w:r>
      <w:r>
        <w:t xml:space="preserve"> were exposed to the treatment (e.g., </w:t>
      </w:r>
      <w:r w:rsidR="00E01599">
        <w:t>being retained in kindergarten</w:t>
      </w:r>
      <w:r>
        <w:t xml:space="preserve">); and </w:t>
      </w:r>
      <w:r w:rsidRPr="008E6051">
        <w:rPr>
          <w:position w:val="-12"/>
          <w:sz w:val="20"/>
        </w:rPr>
        <w:object w:dxaOrig="300" w:dyaOrig="380">
          <v:shape id="_x0000_i1038" type="#_x0000_t75" style="width:15pt;height:18.75pt" o:ole="" fillcolor="window">
            <v:imagedata r:id="rId29" o:title=""/>
          </v:shape>
          <o:OLEObject Type="Embed" ProgID="Equation.DSMT4" ShapeID="_x0000_i1038" DrawAspect="Content" ObjectID="_1478976155" r:id="rId30"/>
        </w:object>
      </w:r>
      <w:r>
        <w:t xml:space="preserve">as the value on the dependent variable that would be observed if unit </w:t>
      </w:r>
      <w:r>
        <w:rPr>
          <w:i/>
          <w:iCs/>
        </w:rPr>
        <w:t>i</w:t>
      </w:r>
      <w:r>
        <w:t xml:space="preserve"> </w:t>
      </w:r>
      <w:r w:rsidR="004C5543">
        <w:t xml:space="preserve">were in the control condition and therefore </w:t>
      </w:r>
      <w:r>
        <w:t xml:space="preserve">not exposed to the </w:t>
      </w:r>
      <w:r w:rsidR="004C5543">
        <w:t xml:space="preserve">treatment </w:t>
      </w:r>
      <w:r>
        <w:t xml:space="preserve">(e.g., </w:t>
      </w:r>
      <w:r w:rsidR="00E01599">
        <w:t>being promoted to the first grade</w:t>
      </w:r>
      <w:r>
        <w:t>).</w:t>
      </w:r>
      <w:r w:rsidR="00031F73">
        <w:t xml:space="preserve"> </w:t>
      </w:r>
      <w:r w:rsidR="00031F73">
        <w:rPr>
          <w:vertAlign w:val="superscript"/>
        </w:rPr>
        <w:t xml:space="preserve">i </w:t>
      </w:r>
      <w:r>
        <w:t xml:space="preserve">  If SUTVA</w:t>
      </w:r>
      <w:r w:rsidR="00350102">
        <w:t xml:space="preserve"> (</w:t>
      </w:r>
      <w:r>
        <w:t xml:space="preserve">Rubin, 1986, 1990) holds –  that there are no spillover effects of treatments from one unit to another –  then the causal mechanisms are independent across units, and the effect of the treatment on a single unit can be defined as </w:t>
      </w:r>
    </w:p>
    <w:p w:rsidR="004A65DE" w:rsidRPr="004A65DE" w:rsidRDefault="004A65DE" w:rsidP="004A65DE">
      <w:pPr>
        <w:spacing w:line="480" w:lineRule="auto"/>
        <w:ind w:firstLine="720"/>
      </w:pPr>
      <w:proofErr w:type="spellStart"/>
      <w:proofErr w:type="gramStart"/>
      <w:r w:rsidRPr="004A65DE">
        <w:t>δ</w:t>
      </w:r>
      <w:r w:rsidRPr="004A65DE">
        <w:rPr>
          <w:vertAlign w:val="subscript"/>
        </w:rPr>
        <w:t>i</w:t>
      </w:r>
      <w:proofErr w:type="spellEnd"/>
      <w:proofErr w:type="gramEnd"/>
      <w:r w:rsidRPr="004A65DE">
        <w:t>=</w:t>
      </w:r>
      <w:r w:rsidRPr="004A65DE">
        <w:rPr>
          <w:position w:val="-12"/>
        </w:rPr>
        <w:object w:dxaOrig="279" w:dyaOrig="380">
          <v:shape id="_x0000_i1039" type="#_x0000_t75" style="width:14.25pt;height:18.75pt" o:ole="" fillcolor="window">
            <v:imagedata r:id="rId27" o:title=""/>
          </v:shape>
          <o:OLEObject Type="Embed" ProgID="Equation.DSMT4" ShapeID="_x0000_i1039" DrawAspect="Content" ObjectID="_1478976156" r:id="rId31"/>
        </w:object>
      </w:r>
      <w:r w:rsidRPr="004A65DE">
        <w:rPr>
          <w:position w:val="-12"/>
        </w:rPr>
        <w:t xml:space="preserve"> </w:t>
      </w:r>
      <w:r w:rsidRPr="004A65DE">
        <w:t>−</w:t>
      </w:r>
      <w:r w:rsidRPr="004A65DE">
        <w:rPr>
          <w:position w:val="-12"/>
        </w:rPr>
        <w:object w:dxaOrig="300" w:dyaOrig="380">
          <v:shape id="_x0000_i1040" type="#_x0000_t75" style="width:15pt;height:18.75pt" o:ole="" fillcolor="window">
            <v:imagedata r:id="rId29" o:title=""/>
          </v:shape>
          <o:OLEObject Type="Embed" ProgID="Equation.DSMT4" ShapeID="_x0000_i1040" DrawAspect="Content" ObjectID="_1478976157" r:id="rId32"/>
        </w:object>
      </w:r>
      <w:r>
        <w:t>.  (5)</w:t>
      </w:r>
    </w:p>
    <w:p w:rsidR="00AA784C" w:rsidRPr="008A0275" w:rsidRDefault="00AA784C" w:rsidP="00AA784C">
      <w:pPr>
        <w:spacing w:line="480" w:lineRule="auto"/>
        <w:rPr>
          <w:i/>
        </w:rPr>
      </w:pPr>
      <w:r>
        <w:t xml:space="preserve">The problems of bias due to non-random assignment to treatment are addressed in RCM by defining causality for a single unit– the unit assigned to the treatment is identical to the unit </w:t>
      </w:r>
      <w:r>
        <w:lastRenderedPageBreak/>
        <w:t xml:space="preserve">assigned to the control. Similarly, there is no concern about sampling bias because the model refers only to the single unit </w:t>
      </w:r>
      <w:r>
        <w:rPr>
          <w:i/>
        </w:rPr>
        <w:t>i.</w:t>
      </w:r>
    </w:p>
    <w:p w:rsidR="00341986" w:rsidRDefault="00AA784C" w:rsidP="00073B98">
      <w:pPr>
        <w:spacing w:after="120" w:line="480" w:lineRule="auto"/>
      </w:pPr>
      <w:r>
        <w:tab/>
        <w:t xml:space="preserve">Of course, </w:t>
      </w:r>
      <w:r w:rsidR="004C5543">
        <w:t xml:space="preserve">RCM </w:t>
      </w:r>
      <w:r>
        <w:t xml:space="preserve">does not eliminate the problems of bias due to non-random assignment to treatments or non-random sampling.  Instead, it recasts these sources of bias in terms </w:t>
      </w:r>
      <w:r w:rsidR="004A65DE">
        <w:t>of missing data (Holland, 1986), because f</w:t>
      </w:r>
      <w:r w:rsidR="004C5543">
        <w:t xml:space="preserve">or each unit, one potential outcome is missing. </w:t>
      </w:r>
      <w:r>
        <w:t>We use this feature to describe characteristics of missing data necess</w:t>
      </w:r>
      <w:r w:rsidR="00341986">
        <w:t>ary to invalidate an inference.</w:t>
      </w:r>
    </w:p>
    <w:p w:rsidR="00AA784C" w:rsidRDefault="00AA784C" w:rsidP="004A65DE">
      <w:pPr>
        <w:jc w:val="center"/>
      </w:pPr>
      <w:r>
        <w:rPr>
          <w:i/>
        </w:rPr>
        <w:t>Application to Non-Random Assignment to Treatment</w:t>
      </w:r>
    </w:p>
    <w:p w:rsidR="004A65DE" w:rsidRDefault="004A65DE" w:rsidP="00C653A9">
      <w:pPr>
        <w:spacing w:line="480" w:lineRule="auto"/>
        <w:ind w:firstLine="720"/>
      </w:pPr>
    </w:p>
    <w:p w:rsidR="00C653A9" w:rsidRDefault="00AA784C" w:rsidP="00C653A9">
      <w:pPr>
        <w:spacing w:line="480" w:lineRule="auto"/>
        <w:ind w:firstLine="720"/>
      </w:pPr>
      <w:r>
        <w:t>Consider a study in which the units were randomly sampled but were not randomly assigned to treatments</w:t>
      </w:r>
      <w:r w:rsidR="00E01599">
        <w:t xml:space="preserve"> (e.g., </w:t>
      </w:r>
      <w:r w:rsidR="00B24A77">
        <w:t>an observational study of the effects of kindergarten retention on achievement</w:t>
      </w:r>
      <w:r w:rsidR="00E01599">
        <w:t>)</w:t>
      </w:r>
      <w:r>
        <w:t>.  In this case we would focus on interpreting the bias necessary to invalidate an inference due to non-random assignment to treatment, a component of internal validity (Cook &amp; Campbell, 1979).  Using notation similar to that of Morgan and Winship (2007), let X</w:t>
      </w:r>
      <w:r w:rsidRPr="00CC2489">
        <w:rPr>
          <w:i/>
        </w:rPr>
        <w:t>=t</w:t>
      </w:r>
      <w:r>
        <w:t xml:space="preserve"> if a unit received the treatment and X</w:t>
      </w:r>
      <w:r w:rsidRPr="00CC2489">
        <w:rPr>
          <w:i/>
        </w:rPr>
        <w:t>=c</w:t>
      </w:r>
      <w:r>
        <w:t xml:space="preserve"> if a unit received the control. </w:t>
      </w:r>
      <w:proofErr w:type="spellStart"/>
      <w:proofErr w:type="gramStart"/>
      <w:r>
        <w:t>Y</w:t>
      </w:r>
      <w:r w:rsidRPr="00CC2489">
        <w:rPr>
          <w:i/>
          <w:vertAlign w:val="superscript"/>
        </w:rPr>
        <w:t>t</w:t>
      </w:r>
      <w:proofErr w:type="spellEnd"/>
      <w:proofErr w:type="gramEnd"/>
      <w:r>
        <w:rPr>
          <w:vertAlign w:val="subscript"/>
        </w:rPr>
        <w:t xml:space="preserve"> </w:t>
      </w:r>
      <w:r>
        <w:t>| X</w:t>
      </w:r>
      <w:r w:rsidRPr="00CC2489">
        <w:rPr>
          <w:i/>
        </w:rPr>
        <w:t>=t</w:t>
      </w:r>
      <w:r>
        <w:t xml:space="preserve"> is then the value of the outcome Y for a unit exposed to the treatment, and </w:t>
      </w:r>
      <w:proofErr w:type="spellStart"/>
      <w:r>
        <w:t>Y</w:t>
      </w:r>
      <w:r w:rsidRPr="00CC2489">
        <w:rPr>
          <w:i/>
          <w:vertAlign w:val="superscript"/>
        </w:rPr>
        <w:t>c</w:t>
      </w:r>
      <w:proofErr w:type="spellEnd"/>
      <w:r>
        <w:rPr>
          <w:vertAlign w:val="subscript"/>
        </w:rPr>
        <w:t xml:space="preserve"> </w:t>
      </w:r>
      <w:r>
        <w:t>| X</w:t>
      </w:r>
      <w:r w:rsidRPr="00CC2489">
        <w:rPr>
          <w:i/>
        </w:rPr>
        <w:t>=t</w:t>
      </w:r>
      <w:r>
        <w:t xml:space="preserve"> is the counterfactual value of Y under the control condition for a unit </w:t>
      </w:r>
      <w:r w:rsidR="004A65DE">
        <w:t xml:space="preserve">that was exposed to </w:t>
      </w:r>
      <w:r>
        <w:t xml:space="preserve">the treatment. For example </w:t>
      </w:r>
      <w:proofErr w:type="spellStart"/>
      <w:r>
        <w:t>Y</w:t>
      </w:r>
      <w:r w:rsidR="00E01599">
        <w:rPr>
          <w:vertAlign w:val="superscript"/>
        </w:rPr>
        <w:t>retained</w:t>
      </w:r>
      <w:proofErr w:type="spellEnd"/>
      <w:r>
        <w:rPr>
          <w:vertAlign w:val="subscript"/>
        </w:rPr>
        <w:t xml:space="preserve"> </w:t>
      </w:r>
      <w:r>
        <w:t>| X=</w:t>
      </w:r>
      <w:r w:rsidR="00E01599">
        <w:t>retained</w:t>
      </w:r>
      <w:r>
        <w:t xml:space="preserve"> is the observed level of </w:t>
      </w:r>
      <w:r w:rsidR="00E01599">
        <w:t xml:space="preserve">achievement </w:t>
      </w:r>
      <w:r>
        <w:t xml:space="preserve">for a </w:t>
      </w:r>
      <w:r w:rsidR="00E01599">
        <w:t xml:space="preserve">student </w:t>
      </w:r>
      <w:r>
        <w:t xml:space="preserve">who </w:t>
      </w:r>
      <w:r w:rsidR="00E01599">
        <w:t>was retained in kindergarten</w:t>
      </w:r>
      <w:r>
        <w:t xml:space="preserve">, while </w:t>
      </w:r>
      <w:proofErr w:type="spellStart"/>
      <w:r>
        <w:t>Y</w:t>
      </w:r>
      <w:r w:rsidR="00E01599">
        <w:rPr>
          <w:vertAlign w:val="superscript"/>
        </w:rPr>
        <w:t>promoted</w:t>
      </w:r>
      <w:proofErr w:type="spellEnd"/>
      <w:r>
        <w:rPr>
          <w:vertAlign w:val="subscript"/>
        </w:rPr>
        <w:t xml:space="preserve"> </w:t>
      </w:r>
      <w:r>
        <w:t>| X=</w:t>
      </w:r>
      <w:r w:rsidR="00466134">
        <w:t xml:space="preserve">retained </w:t>
      </w:r>
      <w:r>
        <w:t xml:space="preserve">is the unobserved level of </w:t>
      </w:r>
      <w:r w:rsidR="00E01599">
        <w:t xml:space="preserve">achievement </w:t>
      </w:r>
      <w:r w:rsidR="00466134">
        <w:t xml:space="preserve">for the same </w:t>
      </w:r>
      <w:r w:rsidR="005F61A1">
        <w:t xml:space="preserve">student </w:t>
      </w:r>
      <w:r w:rsidR="00466134">
        <w:t xml:space="preserve">if </w:t>
      </w:r>
      <w:r>
        <w:t xml:space="preserve">he had </w:t>
      </w:r>
      <w:r w:rsidR="00466134">
        <w:t>been promoted.</w:t>
      </w:r>
      <w:r>
        <w:t xml:space="preserve"> </w:t>
      </w:r>
    </w:p>
    <w:p w:rsidR="00AA784C" w:rsidRPr="003351A1" w:rsidRDefault="00AA784C" w:rsidP="00C653A9">
      <w:pPr>
        <w:spacing w:line="480" w:lineRule="auto"/>
        <w:ind w:firstLine="720"/>
        <w:rPr>
          <w:lang w:val="de-DE"/>
        </w:rPr>
      </w:pPr>
      <w:r>
        <w:t>Using this notation, and defining bias as β= E[</w:t>
      </w:r>
      <w:r w:rsidRPr="008A0275">
        <w:rPr>
          <w:position w:val="-6"/>
          <w:sz w:val="20"/>
        </w:rPr>
        <w:object w:dxaOrig="180" w:dyaOrig="340">
          <v:shape id="_x0000_i1041" type="#_x0000_t75" style="width:9pt;height:17.25pt" o:ole="" fillcolor="window">
            <v:imagedata r:id="rId33" o:title=""/>
          </v:shape>
          <o:OLEObject Type="Embed" ProgID="Equation.DSMT4" ShapeID="_x0000_i1041" DrawAspect="Content" ObjectID="_1478976158" r:id="rId34"/>
        </w:object>
      </w:r>
      <w:r>
        <w:t>]−E[</w:t>
      </w:r>
      <w:r w:rsidR="00523E1E">
        <w:fldChar w:fldCharType="begin"/>
      </w:r>
      <w:r>
        <w:instrText>EQ \O()</w:instrText>
      </w:r>
      <w:r w:rsidR="00523E1E">
        <w:fldChar w:fldCharType="end"/>
      </w:r>
      <w:r w:rsidRPr="008A0275">
        <w:rPr>
          <w:position w:val="-6"/>
          <w:sz w:val="20"/>
        </w:rPr>
        <w:object w:dxaOrig="200" w:dyaOrig="320">
          <v:shape id="_x0000_i1042" type="#_x0000_t75" style="width:9.75pt;height:15.75pt" o:ole="" fillcolor="window">
            <v:imagedata r:id="rId35" o:title=""/>
          </v:shape>
          <o:OLEObject Type="Embed" ProgID="Equation.DSMT4" ShapeID="_x0000_i1042" DrawAspect="Content" ObjectID="_1478976159" r:id="rId36"/>
        </w:object>
      </w:r>
      <w:r>
        <w:t>]</w:t>
      </w:r>
      <w:r w:rsidR="00D23136">
        <w:t>,</w:t>
      </w:r>
      <w:r>
        <w:t xml:space="preserve"> in technical appendix </w:t>
      </w:r>
      <w:r w:rsidR="00D23136">
        <w:t xml:space="preserve">A </w:t>
      </w:r>
      <w:r>
        <w:t>we show the bias due to nonrandom assignment to treatments, β</w:t>
      </w:r>
      <w:r w:rsidRPr="003351A1">
        <w:rPr>
          <w:vertAlign w:val="superscript"/>
          <w:lang w:val="de-DE"/>
        </w:rPr>
        <w:t>a</w:t>
      </w:r>
      <w:r>
        <w:t>, is:</w:t>
      </w:r>
    </w:p>
    <w:p w:rsidR="00AA784C" w:rsidRDefault="00AA784C" w:rsidP="00AA784C">
      <w:pPr>
        <w:spacing w:line="480" w:lineRule="auto"/>
        <w:ind w:firstLine="720"/>
      </w:pPr>
      <w:r>
        <w:t>β</w:t>
      </w:r>
      <w:r w:rsidRPr="003351A1">
        <w:rPr>
          <w:vertAlign w:val="superscript"/>
          <w:lang w:val="de-DE"/>
        </w:rPr>
        <w:t>a</w:t>
      </w:r>
      <w:r w:rsidRPr="003351A1">
        <w:rPr>
          <w:lang w:val="de-DE"/>
        </w:rPr>
        <w:t>=</w:t>
      </w:r>
      <w:r>
        <w:t>π</w:t>
      </w:r>
      <w:r w:rsidRPr="00DB48A2">
        <w:rPr>
          <w:position w:val="-4"/>
          <w:lang w:val="de-DE"/>
        </w:rPr>
        <w:object w:dxaOrig="120" w:dyaOrig="300">
          <v:shape id="_x0000_i1043" type="#_x0000_t75" style="width:6.75pt;height:15pt" o:ole="">
            <v:imagedata r:id="rId37" o:title=""/>
          </v:shape>
          <o:OLEObject Type="Embed" ProgID="Equation.DSMT4" ShapeID="_x0000_i1043" DrawAspect="Content" ObjectID="_1478976160" r:id="rId38"/>
        </w:object>
      </w:r>
      <w:r w:rsidRPr="003351A1">
        <w:rPr>
          <w:lang w:val="de-DE"/>
        </w:rPr>
        <w:t>{ E[Y</w:t>
      </w:r>
      <w:r w:rsidRPr="00CC2489">
        <w:rPr>
          <w:i/>
          <w:vertAlign w:val="superscript"/>
          <w:lang w:val="de-DE"/>
        </w:rPr>
        <w:t>c</w:t>
      </w:r>
      <w:r w:rsidRPr="003351A1">
        <w:rPr>
          <w:lang w:val="de-DE"/>
        </w:rPr>
        <w:t>|X</w:t>
      </w:r>
      <w:r w:rsidRPr="00CC2489">
        <w:rPr>
          <w:i/>
          <w:lang w:val="de-DE"/>
        </w:rPr>
        <w:t>=t</w:t>
      </w:r>
      <w:r w:rsidRPr="003351A1">
        <w:rPr>
          <w:lang w:val="de-DE"/>
        </w:rPr>
        <w:t>]</w:t>
      </w:r>
      <w:r>
        <w:rPr>
          <w:lang w:val="de-DE"/>
        </w:rPr>
        <w:t>−</w:t>
      </w:r>
      <w:r w:rsidRPr="003351A1">
        <w:rPr>
          <w:lang w:val="de-DE"/>
        </w:rPr>
        <w:t>E[Y</w:t>
      </w:r>
      <w:r w:rsidRPr="00CC2489">
        <w:rPr>
          <w:i/>
          <w:vertAlign w:val="superscript"/>
          <w:lang w:val="de-DE"/>
        </w:rPr>
        <w:t>c</w:t>
      </w:r>
      <w:r w:rsidRPr="003351A1">
        <w:rPr>
          <w:lang w:val="de-DE"/>
        </w:rPr>
        <w:t>|X</w:t>
      </w:r>
      <w:r w:rsidRPr="00CC2489">
        <w:rPr>
          <w:i/>
          <w:lang w:val="de-DE"/>
        </w:rPr>
        <w:t>=c</w:t>
      </w:r>
      <w:r w:rsidRPr="003351A1">
        <w:rPr>
          <w:lang w:val="de-DE"/>
        </w:rPr>
        <w:t>]}+(1</w:t>
      </w:r>
      <w:r>
        <w:rPr>
          <w:lang w:val="de-DE"/>
        </w:rPr>
        <w:t>−</w:t>
      </w:r>
      <w:r>
        <w:t>π</w:t>
      </w:r>
      <w:r w:rsidRPr="00DB48A2">
        <w:rPr>
          <w:position w:val="-4"/>
          <w:lang w:val="de-DE"/>
        </w:rPr>
        <w:object w:dxaOrig="120" w:dyaOrig="300">
          <v:shape id="_x0000_i1044" type="#_x0000_t75" style="width:6.75pt;height:15pt" o:ole="">
            <v:imagedata r:id="rId37" o:title=""/>
          </v:shape>
          <o:OLEObject Type="Embed" ProgID="Equation.DSMT4" ShapeID="_x0000_i1044" DrawAspect="Content" ObjectID="_1478976161" r:id="rId39"/>
        </w:object>
      </w:r>
      <w:r w:rsidRPr="003351A1">
        <w:rPr>
          <w:lang w:val="de-DE"/>
        </w:rPr>
        <w:t>){E[Y</w:t>
      </w:r>
      <w:r w:rsidRPr="00CC2489">
        <w:rPr>
          <w:i/>
          <w:vertAlign w:val="superscript"/>
          <w:lang w:val="de-DE"/>
        </w:rPr>
        <w:t>t</w:t>
      </w:r>
      <w:r w:rsidRPr="003351A1">
        <w:rPr>
          <w:lang w:val="de-DE"/>
        </w:rPr>
        <w:t>|X</w:t>
      </w:r>
      <w:r w:rsidRPr="00CC2489">
        <w:rPr>
          <w:i/>
          <w:lang w:val="de-DE"/>
        </w:rPr>
        <w:t>=t</w:t>
      </w:r>
      <w:r w:rsidRPr="003351A1">
        <w:rPr>
          <w:lang w:val="de-DE"/>
        </w:rPr>
        <w:t>]</w:t>
      </w:r>
      <w:r>
        <w:rPr>
          <w:lang w:val="de-DE"/>
        </w:rPr>
        <w:t>−</w:t>
      </w:r>
      <w:r w:rsidRPr="003351A1">
        <w:rPr>
          <w:lang w:val="de-DE"/>
        </w:rPr>
        <w:t>E[Y</w:t>
      </w:r>
      <w:r w:rsidRPr="00CC2489">
        <w:rPr>
          <w:i/>
          <w:vertAlign w:val="superscript"/>
          <w:lang w:val="de-DE"/>
        </w:rPr>
        <w:t>t</w:t>
      </w:r>
      <w:r w:rsidRPr="003351A1">
        <w:rPr>
          <w:lang w:val="de-DE"/>
        </w:rPr>
        <w:t>|X</w:t>
      </w:r>
      <w:r w:rsidRPr="00CC2489">
        <w:rPr>
          <w:i/>
          <w:lang w:val="de-DE"/>
        </w:rPr>
        <w:t>=c</w:t>
      </w:r>
      <w:r w:rsidRPr="003351A1">
        <w:rPr>
          <w:lang w:val="de-DE"/>
        </w:rPr>
        <w:t xml:space="preserve">]} .       </w:t>
      </w:r>
      <w:r w:rsidR="00C653A9">
        <w:t>(6</w:t>
      </w:r>
      <w:r>
        <w:t>)</w:t>
      </w:r>
    </w:p>
    <w:p w:rsidR="00AA784C" w:rsidRDefault="00AA784C" w:rsidP="00AA784C">
      <w:pPr>
        <w:spacing w:line="480" w:lineRule="auto"/>
      </w:pPr>
      <w:r>
        <w:t xml:space="preserve">In words, the term </w:t>
      </w:r>
      <w:proofErr w:type="gramStart"/>
      <w:r>
        <w:t>E[</w:t>
      </w:r>
      <w:proofErr w:type="spellStart"/>
      <w:proofErr w:type="gramEnd"/>
      <w:r>
        <w:t>Y</w:t>
      </w:r>
      <w:r w:rsidRPr="00CC2489">
        <w:rPr>
          <w:i/>
          <w:vertAlign w:val="superscript"/>
        </w:rPr>
        <w:t>c</w:t>
      </w:r>
      <w:proofErr w:type="spellEnd"/>
      <w:r>
        <w:rPr>
          <w:vertAlign w:val="subscript"/>
        </w:rPr>
        <w:t xml:space="preserve"> </w:t>
      </w:r>
      <w:r>
        <w:t>| X</w:t>
      </w:r>
      <w:r w:rsidRPr="00CC2489">
        <w:rPr>
          <w:i/>
        </w:rPr>
        <w:t>=t</w:t>
      </w:r>
      <w:r>
        <w:t>]−E[</w:t>
      </w:r>
      <w:proofErr w:type="spellStart"/>
      <w:r>
        <w:t>Y</w:t>
      </w:r>
      <w:r w:rsidRPr="00CC2489">
        <w:rPr>
          <w:i/>
          <w:vertAlign w:val="superscript"/>
        </w:rPr>
        <w:t>c</w:t>
      </w:r>
      <w:proofErr w:type="spellEnd"/>
      <w:r>
        <w:rPr>
          <w:vertAlign w:val="subscript"/>
        </w:rPr>
        <w:t xml:space="preserve"> </w:t>
      </w:r>
      <w:r>
        <w:t>| X</w:t>
      </w:r>
      <w:r w:rsidRPr="00CC2489">
        <w:rPr>
          <w:i/>
        </w:rPr>
        <w:t>=c</w:t>
      </w:r>
      <w:r>
        <w:t xml:space="preserve">] represents bias </w:t>
      </w:r>
      <w:r w:rsidR="005F61A1">
        <w:t xml:space="preserve">introduced by </w:t>
      </w:r>
      <w:r>
        <w:t>comparing members of the treatment group with members of the observed control (</w:t>
      </w:r>
      <w:proofErr w:type="spellStart"/>
      <w:r>
        <w:t>Y</w:t>
      </w:r>
      <w:r w:rsidRPr="00CC2489">
        <w:rPr>
          <w:i/>
          <w:vertAlign w:val="superscript"/>
        </w:rPr>
        <w:t>c</w:t>
      </w:r>
      <w:proofErr w:type="spellEnd"/>
      <w:r>
        <w:rPr>
          <w:vertAlign w:val="subscript"/>
        </w:rPr>
        <w:t xml:space="preserve"> </w:t>
      </w:r>
      <w:r>
        <w:t>| X</w:t>
      </w:r>
      <w:r w:rsidRPr="00CC2489">
        <w:rPr>
          <w:i/>
        </w:rPr>
        <w:t>=c</w:t>
      </w:r>
      <w:r>
        <w:t xml:space="preserve">) instead of their </w:t>
      </w:r>
      <w:r>
        <w:lastRenderedPageBreak/>
        <w:t>counterfactual: members of the treatment group if they had received the control (</w:t>
      </w:r>
      <w:proofErr w:type="spellStart"/>
      <w:r>
        <w:t>Y</w:t>
      </w:r>
      <w:r w:rsidRPr="00CC2489">
        <w:rPr>
          <w:i/>
          <w:vertAlign w:val="superscript"/>
        </w:rPr>
        <w:t>c</w:t>
      </w:r>
      <w:proofErr w:type="spellEnd"/>
      <w:r>
        <w:rPr>
          <w:vertAlign w:val="subscript"/>
        </w:rPr>
        <w:t xml:space="preserve"> </w:t>
      </w:r>
      <w:r>
        <w:t>|X</w:t>
      </w:r>
      <w:r w:rsidRPr="00CC2489">
        <w:rPr>
          <w:i/>
        </w:rPr>
        <w:t>=t</w:t>
      </w:r>
      <w:r>
        <w:t xml:space="preserve">).  Similarly, </w:t>
      </w:r>
      <w:proofErr w:type="gramStart"/>
      <w:r>
        <w:t>E[</w:t>
      </w:r>
      <w:proofErr w:type="spellStart"/>
      <w:proofErr w:type="gramEnd"/>
      <w:r>
        <w:t>Y</w:t>
      </w:r>
      <w:r w:rsidRPr="00CC2489">
        <w:rPr>
          <w:i/>
          <w:vertAlign w:val="superscript"/>
        </w:rPr>
        <w:t>t</w:t>
      </w:r>
      <w:proofErr w:type="spellEnd"/>
      <w:r>
        <w:t xml:space="preserve"> |X</w:t>
      </w:r>
      <w:r w:rsidRPr="00CC2489">
        <w:rPr>
          <w:i/>
        </w:rPr>
        <w:t>=t</w:t>
      </w:r>
      <w:r>
        <w:t>] − E[</w:t>
      </w:r>
      <w:proofErr w:type="spellStart"/>
      <w:r>
        <w:t>Y</w:t>
      </w:r>
      <w:r w:rsidRPr="00CC2489">
        <w:rPr>
          <w:i/>
          <w:vertAlign w:val="superscript"/>
        </w:rPr>
        <w:t>t</w:t>
      </w:r>
      <w:proofErr w:type="spellEnd"/>
      <w:r>
        <w:t xml:space="preserve"> | X</w:t>
      </w:r>
      <w:r w:rsidRPr="00CC2489">
        <w:rPr>
          <w:i/>
        </w:rPr>
        <w:t>=c</w:t>
      </w:r>
      <w:r>
        <w:t>] represents bias introduced by comparing members of the control with members of the observed treatment (</w:t>
      </w:r>
      <w:proofErr w:type="spellStart"/>
      <w:r>
        <w:t>Y</w:t>
      </w:r>
      <w:r w:rsidRPr="00CC2489">
        <w:rPr>
          <w:i/>
          <w:vertAlign w:val="superscript"/>
        </w:rPr>
        <w:t>t</w:t>
      </w:r>
      <w:proofErr w:type="spellEnd"/>
      <w:r>
        <w:rPr>
          <w:vertAlign w:val="subscript"/>
        </w:rPr>
        <w:t xml:space="preserve"> </w:t>
      </w:r>
      <w:r>
        <w:t>| X</w:t>
      </w:r>
      <w:r w:rsidRPr="00CC2489">
        <w:rPr>
          <w:i/>
        </w:rPr>
        <w:t>=t</w:t>
      </w:r>
      <w:r>
        <w:t>) instead of their counterfactual: members of the control if they had received the treatment (</w:t>
      </w:r>
      <w:proofErr w:type="spellStart"/>
      <w:r>
        <w:t>Y</w:t>
      </w:r>
      <w:r w:rsidRPr="00CC2489">
        <w:rPr>
          <w:i/>
          <w:vertAlign w:val="superscript"/>
        </w:rPr>
        <w:t>t</w:t>
      </w:r>
      <w:proofErr w:type="spellEnd"/>
      <w:r>
        <w:rPr>
          <w:vertAlign w:val="subscript"/>
        </w:rPr>
        <w:t xml:space="preserve"> </w:t>
      </w:r>
      <w:r>
        <w:t>| X</w:t>
      </w:r>
      <w:r w:rsidRPr="00CC2489">
        <w:rPr>
          <w:i/>
        </w:rPr>
        <w:t>=c</w:t>
      </w:r>
      <w:r>
        <w:t>).  The bias attributed to the incorrect comparison for the treatment group is weighted by the proportion in the treatment group, π</w:t>
      </w:r>
      <w:r w:rsidRPr="00DB48A2">
        <w:rPr>
          <w:position w:val="-4"/>
        </w:rPr>
        <w:object w:dxaOrig="120" w:dyaOrig="300">
          <v:shape id="_x0000_i1045" type="#_x0000_t75" style="width:6.75pt;height:15pt" o:ole="">
            <v:imagedata r:id="rId37" o:title=""/>
          </v:shape>
          <o:OLEObject Type="Embed" ProgID="Equation.DSMT4" ShapeID="_x0000_i1045" DrawAspect="Content" ObjectID="_1478976162" r:id="rId40"/>
        </w:object>
      </w:r>
      <w:r>
        <w:t>; and the bias attributed to the incorrect comparison for the control group is weighted by 1−π</w:t>
      </w:r>
      <w:r w:rsidRPr="00DB48A2">
        <w:rPr>
          <w:position w:val="-4"/>
        </w:rPr>
        <w:object w:dxaOrig="120" w:dyaOrig="300">
          <v:shape id="_x0000_i1046" type="#_x0000_t75" style="width:6.75pt;height:15pt" o:ole="">
            <v:imagedata r:id="rId37" o:title=""/>
          </v:shape>
          <o:OLEObject Type="Embed" ProgID="Equation.DSMT4" ShapeID="_x0000_i1046" DrawAspect="Content" ObjectID="_1478976163" r:id="rId41"/>
        </w:object>
      </w:r>
      <w:r>
        <w:t>.</w:t>
      </w:r>
    </w:p>
    <w:p w:rsidR="00AA784C" w:rsidRDefault="00AA784C" w:rsidP="00073B98">
      <w:pPr>
        <w:spacing w:after="120" w:line="480" w:lineRule="auto"/>
        <w:jc w:val="center"/>
        <w:rPr>
          <w:i/>
        </w:rPr>
      </w:pPr>
      <w:r>
        <w:rPr>
          <w:i/>
        </w:rPr>
        <w:t>Application to a Non-Random Sample</w:t>
      </w:r>
    </w:p>
    <w:p w:rsidR="00AA784C" w:rsidRDefault="00AA784C" w:rsidP="00AA784C">
      <w:pPr>
        <w:spacing w:line="480" w:lineRule="auto"/>
        <w:ind w:firstLine="720"/>
      </w:pPr>
      <w:r>
        <w:t xml:space="preserve">Now consider a study in which the units </w:t>
      </w:r>
      <w:r w:rsidR="00F10B1D">
        <w:t xml:space="preserve">were randomly assigned to treatments but </w:t>
      </w:r>
      <w:r>
        <w:t xml:space="preserve">were </w:t>
      </w:r>
      <w:r w:rsidRPr="0053498B">
        <w:rPr>
          <w:i/>
        </w:rPr>
        <w:t>not</w:t>
      </w:r>
      <w:r>
        <w:t xml:space="preserve"> randomly sampled from the population to which one would like to generalize.  In this </w:t>
      </w:r>
      <w:r w:rsidR="005F61A1">
        <w:t xml:space="preserve">case </w:t>
      </w:r>
      <w:r>
        <w:t xml:space="preserve">the target population consists of both those directly represented </w:t>
      </w:r>
      <w:r w:rsidR="00EA7F6E">
        <w:t xml:space="preserve">by </w:t>
      </w:r>
      <w:r>
        <w:t xml:space="preserve">the sample as well as those not directly represented </w:t>
      </w:r>
      <w:r w:rsidR="00EA7F6E">
        <w:t xml:space="preserve">by </w:t>
      </w:r>
      <w:r>
        <w:t xml:space="preserve">the sample – </w:t>
      </w:r>
      <w:r w:rsidR="005F61A1">
        <w:t xml:space="preserve">one might be </w:t>
      </w:r>
      <w:r>
        <w:t xml:space="preserve">concerned with statements about general causes across populations, known as external validity (Cook &amp; Campbell, 1979, page 39). </w:t>
      </w:r>
      <w:r w:rsidR="004A65DE">
        <w:t xml:space="preserve">As an example in this paper, </w:t>
      </w:r>
      <w:r w:rsidR="005F61A1">
        <w:t xml:space="preserve">one might seek to make an inference about the effect of </w:t>
      </w:r>
      <w:r w:rsidR="00EA7F6E">
        <w:t xml:space="preserve">the Open Court curriculum </w:t>
      </w:r>
      <w:r w:rsidR="005F61A1">
        <w:t xml:space="preserve">beyond the population </w:t>
      </w:r>
      <w:r w:rsidR="00EA7F6E">
        <w:t xml:space="preserve">of schools that volunteered for a study of Open Court (e.g., Borman et al., </w:t>
      </w:r>
      <w:r w:rsidR="00EA7F6E">
        <w:rPr>
          <w:rFonts w:eastAsia="@PMingLiU"/>
        </w:rPr>
        <w:t xml:space="preserve">2008). </w:t>
      </w:r>
    </w:p>
    <w:p w:rsidR="00AA784C" w:rsidRPr="00904E62" w:rsidRDefault="00AA784C" w:rsidP="00AA784C">
      <w:pPr>
        <w:spacing w:line="480" w:lineRule="auto"/>
        <w:ind w:firstLine="720"/>
        <w:rPr>
          <w:color w:val="000000"/>
        </w:rPr>
      </w:pPr>
      <w:r>
        <w:t xml:space="preserve">To quantify robustness with respect to external validity we adapt RCM to focus on bias due to non-random sampling. </w:t>
      </w:r>
      <w:r>
        <w:rPr>
          <w:color w:val="000000"/>
        </w:rPr>
        <w:t xml:space="preserve">Instead of the unobserved data defined by the counterfactual, consider a target population as comprised of two groups, one that has the potential to be observed in a sample, </w:t>
      </w:r>
      <w:r w:rsidRPr="00425574">
        <w:rPr>
          <w:i/>
        </w:rPr>
        <w:t>p</w:t>
      </w:r>
      <w:r>
        <w:t xml:space="preserve">, </w:t>
      </w:r>
      <w:r>
        <w:rPr>
          <w:color w:val="000000"/>
        </w:rPr>
        <w:t>and one does not</w:t>
      </w:r>
      <w:r w:rsidR="006340C1">
        <w:rPr>
          <w:color w:val="000000"/>
        </w:rPr>
        <w:t xml:space="preserve"> have the potential to be sampled</w:t>
      </w:r>
      <w:r w:rsidR="00DC008D">
        <w:rPr>
          <w:color w:val="000000"/>
        </w:rPr>
        <w:t xml:space="preserve"> but is of interest</w:t>
      </w:r>
      <w:r>
        <w:rPr>
          <w:color w:val="000000"/>
        </w:rPr>
        <w:t xml:space="preserve">, </w:t>
      </w:r>
      <w:r w:rsidRPr="00425574">
        <w:rPr>
          <w:i/>
        </w:rPr>
        <w:t>p</w:t>
      </w:r>
      <w:r>
        <w:rPr>
          <w:i/>
          <w:color w:val="000000"/>
        </w:rPr>
        <w:t>´</w:t>
      </w:r>
      <w:r>
        <w:rPr>
          <w:color w:val="000000"/>
        </w:rPr>
        <w:t xml:space="preserve">.  </w:t>
      </w:r>
      <w:r w:rsidR="004A65DE">
        <w:rPr>
          <w:color w:val="000000"/>
        </w:rPr>
        <w:t xml:space="preserve">For </w:t>
      </w:r>
      <w:r>
        <w:rPr>
          <w:color w:val="000000"/>
        </w:rPr>
        <w:t xml:space="preserve">example, consider population </w:t>
      </w:r>
      <w:r w:rsidR="006340C1">
        <w:rPr>
          <w:i/>
          <w:color w:val="000000"/>
        </w:rPr>
        <w:t xml:space="preserve">p </w:t>
      </w:r>
      <w:r w:rsidR="006340C1">
        <w:rPr>
          <w:color w:val="000000"/>
        </w:rPr>
        <w:t xml:space="preserve">to </w:t>
      </w:r>
      <w:r>
        <w:rPr>
          <w:color w:val="000000"/>
        </w:rPr>
        <w:t xml:space="preserve">consist of schools </w:t>
      </w:r>
      <w:r w:rsidR="006340C1">
        <w:rPr>
          <w:color w:val="000000"/>
        </w:rPr>
        <w:t xml:space="preserve">that </w:t>
      </w:r>
      <w:r>
        <w:rPr>
          <w:color w:val="000000"/>
        </w:rPr>
        <w:t xml:space="preserve">volunteered for a study of </w:t>
      </w:r>
      <w:r w:rsidR="006340C1">
        <w:rPr>
          <w:color w:val="000000"/>
        </w:rPr>
        <w:t xml:space="preserve">the Open Court </w:t>
      </w:r>
      <w:r>
        <w:rPr>
          <w:color w:val="000000"/>
        </w:rPr>
        <w:t xml:space="preserve">curriculum, and </w:t>
      </w:r>
      <w:r w:rsidR="006340C1">
        <w:rPr>
          <w:color w:val="000000"/>
        </w:rPr>
        <w:t xml:space="preserve">population </w:t>
      </w:r>
      <w:r w:rsidR="006340C1" w:rsidRPr="00425574">
        <w:rPr>
          <w:i/>
        </w:rPr>
        <w:t>p</w:t>
      </w:r>
      <w:r w:rsidR="006340C1">
        <w:rPr>
          <w:i/>
          <w:color w:val="000000"/>
        </w:rPr>
        <w:t>´</w:t>
      </w:r>
      <w:r w:rsidR="006340C1">
        <w:rPr>
          <w:color w:val="000000"/>
        </w:rPr>
        <w:t xml:space="preserve"> to consist of schools that did not volunteer for the study</w:t>
      </w:r>
      <w:r>
        <w:rPr>
          <w:color w:val="000000"/>
        </w:rPr>
        <w:t xml:space="preserve">.  </w:t>
      </w:r>
      <w:r>
        <w:rPr>
          <w:color w:val="000000"/>
        </w:rPr>
        <w:lastRenderedPageBreak/>
        <w:t xml:space="preserve">Although the study sample can only come from those schools that volunteered for the study, one might seek to generalize to </w:t>
      </w:r>
      <w:r w:rsidR="006340C1">
        <w:rPr>
          <w:color w:val="000000"/>
        </w:rPr>
        <w:t xml:space="preserve">the </w:t>
      </w:r>
      <w:r>
        <w:rPr>
          <w:color w:val="000000"/>
        </w:rPr>
        <w:t>broader population of schools</w:t>
      </w:r>
      <w:r w:rsidR="00BD2CB8">
        <w:rPr>
          <w:color w:val="000000"/>
        </w:rPr>
        <w:t xml:space="preserve"> including </w:t>
      </w:r>
      <w:r w:rsidR="00BD2CB8" w:rsidRPr="00425574">
        <w:rPr>
          <w:i/>
        </w:rPr>
        <w:t>p</w:t>
      </w:r>
      <w:r w:rsidR="00BD2CB8">
        <w:rPr>
          <w:i/>
          <w:color w:val="000000"/>
        </w:rPr>
        <w:t>´</w:t>
      </w:r>
      <w:r w:rsidR="00BD2CB8">
        <w:rPr>
          <w:color w:val="000000"/>
        </w:rPr>
        <w:t xml:space="preserve"> as well as </w:t>
      </w:r>
      <w:r w:rsidR="00BD2CB8">
        <w:rPr>
          <w:i/>
          <w:color w:val="000000"/>
        </w:rPr>
        <w:t>p.</w:t>
      </w:r>
      <w:r w:rsidR="00904E62">
        <w:rPr>
          <w:color w:val="000000"/>
        </w:rPr>
        <w:t xml:space="preserve">  </w:t>
      </w:r>
    </w:p>
    <w:p w:rsidR="00AA784C" w:rsidRDefault="004F4233" w:rsidP="00AA784C">
      <w:pPr>
        <w:spacing w:line="480" w:lineRule="auto"/>
        <w:ind w:firstLine="720"/>
      </w:pPr>
      <w:r>
        <w:t xml:space="preserve">To formally </w:t>
      </w:r>
      <w:r w:rsidR="008B36F0">
        <w:t xml:space="preserve">adapt RCM to </w:t>
      </w:r>
      <w:r>
        <w:t xml:space="preserve">external validity, </w:t>
      </w:r>
      <w:r w:rsidR="00AA784C">
        <w:t>decompose the combined population treatment effect,</w:t>
      </w:r>
      <w:r w:rsidR="00AA784C" w:rsidRPr="008A0275">
        <w:rPr>
          <w:position w:val="-6"/>
          <w:sz w:val="20"/>
        </w:rPr>
        <w:object w:dxaOrig="200" w:dyaOrig="320">
          <v:shape id="_x0000_i1047" type="#_x0000_t75" style="width:9.75pt;height:15.75pt" o:ole="" fillcolor="window">
            <v:imagedata r:id="rId35" o:title=""/>
          </v:shape>
          <o:OLEObject Type="Embed" ProgID="Equation.DSMT4" ShapeID="_x0000_i1047" DrawAspect="Content" ObjectID="_1478976164" r:id="rId42"/>
        </w:object>
      </w:r>
      <w:r w:rsidR="00523E1E">
        <w:fldChar w:fldCharType="begin"/>
      </w:r>
      <w:r w:rsidR="00AA784C">
        <w:instrText>EQ \O()</w:instrText>
      </w:r>
      <w:r w:rsidR="00523E1E">
        <w:fldChar w:fldCharType="end"/>
      </w:r>
      <w:proofErr w:type="gramStart"/>
      <w:r w:rsidR="00AA784C">
        <w:t>,</w:t>
      </w:r>
      <w:proofErr w:type="gramEnd"/>
      <w:r w:rsidR="00AA784C">
        <w:t xml:space="preserve"> into two components: </w:t>
      </w:r>
      <w:r w:rsidR="00AA784C" w:rsidRPr="008A0275">
        <w:rPr>
          <w:position w:val="-6"/>
          <w:sz w:val="20"/>
        </w:rPr>
        <w:object w:dxaOrig="200" w:dyaOrig="320">
          <v:shape id="_x0000_i1048" type="#_x0000_t75" style="width:9.75pt;height:15.75pt" o:ole="" fillcolor="window">
            <v:imagedata r:id="rId35" o:title=""/>
          </v:shape>
          <o:OLEObject Type="Embed" ProgID="Equation.DSMT4" ShapeID="_x0000_i1048" DrawAspect="Content" ObjectID="_1478976165" r:id="rId43"/>
        </w:object>
      </w:r>
      <w:r w:rsidR="00523E1E">
        <w:fldChar w:fldCharType="begin"/>
      </w:r>
      <w:r w:rsidR="00AA784C">
        <w:instrText>EQ \O()</w:instrText>
      </w:r>
      <w:r w:rsidR="00523E1E">
        <w:fldChar w:fldCharType="end"/>
      </w:r>
      <w:r w:rsidR="00AA784C" w:rsidRPr="00425574">
        <w:rPr>
          <w:i/>
          <w:vertAlign w:val="superscript"/>
        </w:rPr>
        <w:t>p</w:t>
      </w:r>
      <w:r w:rsidR="00AA784C">
        <w:t xml:space="preserve">, the treatment effect for the population potentially sampled, and </w:t>
      </w:r>
      <w:r w:rsidR="00523E1E">
        <w:fldChar w:fldCharType="begin"/>
      </w:r>
      <w:r w:rsidR="00AA784C">
        <w:instrText>EQ \O()</w:instrText>
      </w:r>
      <w:r w:rsidR="00523E1E">
        <w:fldChar w:fldCharType="end"/>
      </w:r>
      <w:r w:rsidR="00AA784C" w:rsidRPr="008A0275">
        <w:rPr>
          <w:position w:val="-6"/>
          <w:sz w:val="20"/>
        </w:rPr>
        <w:object w:dxaOrig="200" w:dyaOrig="320">
          <v:shape id="_x0000_i1049" type="#_x0000_t75" style="width:9.75pt;height:15.75pt" o:ole="" fillcolor="window">
            <v:imagedata r:id="rId35" o:title=""/>
          </v:shape>
          <o:OLEObject Type="Embed" ProgID="Equation.DSMT4" ShapeID="_x0000_i1049" DrawAspect="Content" ObjectID="_1478976166" r:id="rId44"/>
        </w:object>
      </w:r>
      <w:r w:rsidR="00AA784C" w:rsidRPr="00425574">
        <w:rPr>
          <w:i/>
          <w:vertAlign w:val="superscript"/>
        </w:rPr>
        <w:t>p</w:t>
      </w:r>
      <w:r w:rsidR="00AA784C">
        <w:rPr>
          <w:i/>
          <w:color w:val="000000"/>
        </w:rPr>
        <w:t>´</w:t>
      </w:r>
      <w:r w:rsidR="00AA784C">
        <w:t xml:space="preserve">, the treatment effect for the population not potentially sampled (Cronbach, 1982; Fisher, 1970[1930]; Frank &amp; Min, 2007). Assuming the proportion of units receiving the treatment is the same in </w:t>
      </w:r>
      <w:r w:rsidR="00AA784C" w:rsidRPr="00425574">
        <w:rPr>
          <w:i/>
        </w:rPr>
        <w:t>p</w:t>
      </w:r>
      <w:r w:rsidR="00AA784C">
        <w:t xml:space="preserve"> and </w:t>
      </w:r>
      <w:r w:rsidR="00AA784C" w:rsidRPr="00425574">
        <w:rPr>
          <w:i/>
        </w:rPr>
        <w:t>p</w:t>
      </w:r>
      <w:r w:rsidR="00AA784C">
        <w:rPr>
          <w:i/>
          <w:color w:val="000000"/>
        </w:rPr>
        <w:t>´</w:t>
      </w:r>
      <w:r w:rsidR="00AA784C">
        <w:t xml:space="preserve">, </w:t>
      </w:r>
      <w:r w:rsidR="00AA784C">
        <w:rPr>
          <w:color w:val="000000"/>
        </w:rPr>
        <w:t>a</w:t>
      </w:r>
      <w:r w:rsidR="00AA784C">
        <w:t xml:space="preserve">n expression for an unbiased treatment estimate across both populations is </w:t>
      </w:r>
    </w:p>
    <w:p w:rsidR="00AA784C" w:rsidRDefault="00AA784C" w:rsidP="00AA784C">
      <w:pPr>
        <w:spacing w:line="480" w:lineRule="auto"/>
      </w:pPr>
      <w:r w:rsidRPr="008A0275">
        <w:rPr>
          <w:position w:val="-6"/>
          <w:sz w:val="20"/>
        </w:rPr>
        <w:object w:dxaOrig="200" w:dyaOrig="320">
          <v:shape id="_x0000_i1050" type="#_x0000_t75" style="width:9.75pt;height:15.75pt" o:ole="" fillcolor="window">
            <v:imagedata r:id="rId35" o:title=""/>
          </v:shape>
          <o:OLEObject Type="Embed" ProgID="Equation.DSMT4" ShapeID="_x0000_i1050" DrawAspect="Content" ObjectID="_1478976167" r:id="rId45"/>
        </w:object>
      </w:r>
      <w:r>
        <w:t>=</w:t>
      </w:r>
      <w:r w:rsidRPr="003E5AB1">
        <w:t xml:space="preserve"> </w:t>
      </w:r>
      <w:r>
        <w:t>π</w:t>
      </w:r>
      <w:r w:rsidRPr="002323BF">
        <w:rPr>
          <w:i/>
          <w:vertAlign w:val="superscript"/>
        </w:rPr>
        <w:t>p</w:t>
      </w:r>
      <w:r w:rsidRPr="008A0275">
        <w:rPr>
          <w:position w:val="-6"/>
          <w:sz w:val="20"/>
        </w:rPr>
        <w:object w:dxaOrig="200" w:dyaOrig="320">
          <v:shape id="_x0000_i1051" type="#_x0000_t75" style="width:9.75pt;height:15.75pt" o:ole="" fillcolor="window">
            <v:imagedata r:id="rId35" o:title=""/>
          </v:shape>
          <o:OLEObject Type="Embed" ProgID="Equation.DSMT4" ShapeID="_x0000_i1051" DrawAspect="Content" ObjectID="_1478976168" r:id="rId46"/>
        </w:object>
      </w:r>
      <w:proofErr w:type="spellStart"/>
      <w:r w:rsidRPr="002323BF">
        <w:rPr>
          <w:i/>
          <w:vertAlign w:val="superscript"/>
        </w:rPr>
        <w:t>p</w:t>
      </w:r>
      <w:proofErr w:type="spellEnd"/>
      <w:r>
        <w:rPr>
          <w:vertAlign w:val="superscript"/>
        </w:rPr>
        <w:t xml:space="preserve"> </w:t>
      </w:r>
      <w:proofErr w:type="gramStart"/>
      <w:r>
        <w:t>+(</w:t>
      </w:r>
      <w:proofErr w:type="gramEnd"/>
      <w:r>
        <w:t>1−</w:t>
      </w:r>
      <w:r w:rsidRPr="003E5AB1">
        <w:t xml:space="preserve"> </w:t>
      </w:r>
      <w:r>
        <w:t>π</w:t>
      </w:r>
      <w:r>
        <w:rPr>
          <w:vertAlign w:val="superscript"/>
        </w:rPr>
        <w:t>p</w:t>
      </w:r>
      <w:r>
        <w:t>)</w:t>
      </w:r>
      <w:r w:rsidRPr="003E5AB1">
        <w:rPr>
          <w:position w:val="-6"/>
          <w:sz w:val="20"/>
        </w:rPr>
        <w:t xml:space="preserve"> </w:t>
      </w:r>
      <w:r w:rsidRPr="008A0275">
        <w:rPr>
          <w:position w:val="-6"/>
          <w:sz w:val="20"/>
        </w:rPr>
        <w:object w:dxaOrig="200" w:dyaOrig="320">
          <v:shape id="_x0000_i1052" type="#_x0000_t75" style="width:9.75pt;height:15.75pt" o:ole="" fillcolor="window">
            <v:imagedata r:id="rId35" o:title=""/>
          </v:shape>
          <o:OLEObject Type="Embed" ProgID="Equation.DSMT4" ShapeID="_x0000_i1052" DrawAspect="Content" ObjectID="_1478976169" r:id="rId47"/>
        </w:object>
      </w:r>
      <w:r w:rsidRPr="00425574">
        <w:rPr>
          <w:i/>
          <w:vertAlign w:val="superscript"/>
        </w:rPr>
        <w:t>p</w:t>
      </w:r>
      <w:r>
        <w:rPr>
          <w:i/>
          <w:color w:val="000000"/>
        </w:rPr>
        <w:t>´</w:t>
      </w:r>
      <w:r>
        <w:rPr>
          <w:vertAlign w:val="superscript"/>
        </w:rPr>
        <w:t xml:space="preserve"> </w:t>
      </w:r>
      <w:r w:rsidR="00C653A9">
        <w:t>,  (7</w:t>
      </w:r>
      <w:r>
        <w:t>)</w:t>
      </w:r>
    </w:p>
    <w:p w:rsidR="00AA784C" w:rsidRDefault="00AA784C" w:rsidP="00AA784C">
      <w:pPr>
        <w:spacing w:line="480" w:lineRule="auto"/>
      </w:pPr>
      <w:proofErr w:type="gramStart"/>
      <w:r>
        <w:t>where</w:t>
      </w:r>
      <w:proofErr w:type="gramEnd"/>
      <w:r>
        <w:t xml:space="preserve"> π</w:t>
      </w:r>
      <w:r w:rsidRPr="002323BF">
        <w:rPr>
          <w:i/>
          <w:vertAlign w:val="superscript"/>
        </w:rPr>
        <w:t>p</w:t>
      </w:r>
      <w:r>
        <w:t xml:space="preserve"> represents the proportion </w:t>
      </w:r>
      <w:r w:rsidR="00B24A77">
        <w:t xml:space="preserve">from </w:t>
      </w:r>
      <w:r w:rsidRPr="00253007">
        <w:rPr>
          <w:i/>
        </w:rPr>
        <w:t>p</w:t>
      </w:r>
      <w:r>
        <w:t xml:space="preserve"> in the sample representative of </w:t>
      </w:r>
      <w:r w:rsidRPr="002323BF">
        <w:rPr>
          <w:i/>
        </w:rPr>
        <w:t>p</w:t>
      </w:r>
      <w:r>
        <w:t xml:space="preserve"> and </w:t>
      </w:r>
      <w:r w:rsidRPr="00425574">
        <w:rPr>
          <w:i/>
        </w:rPr>
        <w:t>p</w:t>
      </w:r>
      <w:r>
        <w:rPr>
          <w:i/>
          <w:color w:val="000000"/>
        </w:rPr>
        <w:t>´</w:t>
      </w:r>
      <w:r>
        <w:t xml:space="preserve">. </w:t>
      </w:r>
    </w:p>
    <w:p w:rsidR="00AA784C" w:rsidRDefault="00C653A9" w:rsidP="00AA784C">
      <w:pPr>
        <w:spacing w:line="480" w:lineRule="auto"/>
      </w:pPr>
      <w:r>
        <w:tab/>
        <w:t>We can use (7</w:t>
      </w:r>
      <w:r w:rsidR="00AA784C">
        <w:t>) to develop expressions for bias in estimated treatment effects due to a non-random sample. Let Z=</w:t>
      </w:r>
      <w:r w:rsidR="00AA784C" w:rsidRPr="00425574">
        <w:rPr>
          <w:i/>
        </w:rPr>
        <w:t>p</w:t>
      </w:r>
      <w:r w:rsidR="00AA784C">
        <w:t xml:space="preserve"> if a unit is </w:t>
      </w:r>
      <w:r w:rsidR="00B24A77">
        <w:t xml:space="preserve">from </w:t>
      </w:r>
      <w:r w:rsidR="00AA784C">
        <w:rPr>
          <w:i/>
        </w:rPr>
        <w:t>p</w:t>
      </w:r>
      <w:r w:rsidR="00AA784C">
        <w:t>, and Z=</w:t>
      </w:r>
      <w:r w:rsidR="00AA784C" w:rsidRPr="00425574">
        <w:rPr>
          <w:i/>
        </w:rPr>
        <w:t>p</w:t>
      </w:r>
      <w:r w:rsidR="00AA784C">
        <w:rPr>
          <w:i/>
          <w:color w:val="000000"/>
        </w:rPr>
        <w:t>´</w:t>
      </w:r>
      <w:r w:rsidR="00AA784C">
        <w:t xml:space="preserve"> if a unit is </w:t>
      </w:r>
      <w:r w:rsidR="00B24A77">
        <w:t xml:space="preserve">from </w:t>
      </w:r>
      <w:r w:rsidR="00AA784C" w:rsidRPr="00425574">
        <w:rPr>
          <w:i/>
        </w:rPr>
        <w:t>p</w:t>
      </w:r>
      <w:r w:rsidR="00AA784C">
        <w:rPr>
          <w:i/>
          <w:color w:val="000000"/>
        </w:rPr>
        <w:t>´</w:t>
      </w:r>
      <w:r w:rsidR="00AA784C">
        <w:t xml:space="preserve">. </w:t>
      </w:r>
      <w:r w:rsidR="00B24A77">
        <w:t xml:space="preserve">Combining this notation with our earlier notation (e.g., </w:t>
      </w:r>
      <w:proofErr w:type="spellStart"/>
      <w:proofErr w:type="gramStart"/>
      <w:r w:rsidR="006340C1">
        <w:t>Y</w:t>
      </w:r>
      <w:r w:rsidR="006340C1" w:rsidRPr="00CC2489">
        <w:rPr>
          <w:i/>
          <w:vertAlign w:val="superscript"/>
        </w:rPr>
        <w:t>t</w:t>
      </w:r>
      <w:proofErr w:type="spellEnd"/>
      <w:proofErr w:type="gramEnd"/>
      <w:r w:rsidR="006340C1">
        <w:rPr>
          <w:vertAlign w:val="subscript"/>
        </w:rPr>
        <w:t xml:space="preserve"> </w:t>
      </w:r>
      <w:r w:rsidR="006340C1">
        <w:t>| Z=</w:t>
      </w:r>
      <w:r w:rsidR="006340C1" w:rsidRPr="00425574">
        <w:rPr>
          <w:i/>
        </w:rPr>
        <w:t>p</w:t>
      </w:r>
      <w:r w:rsidR="006340C1">
        <w:t xml:space="preserve"> represent</w:t>
      </w:r>
      <w:r w:rsidR="009C27D0">
        <w:t>s</w:t>
      </w:r>
      <w:r w:rsidR="006340C1">
        <w:t xml:space="preserve"> the treatment outcome for a school in the population of schools that volunteered for the study</w:t>
      </w:r>
      <w:r w:rsidR="00B24A77">
        <w:t xml:space="preserve">), </w:t>
      </w:r>
      <w:r w:rsidR="001678C1">
        <w:t xml:space="preserve">and defining </w:t>
      </w:r>
      <w:r w:rsidR="00AA784C">
        <w:t>bias due to non-random sampling as β</w:t>
      </w:r>
      <w:r w:rsidR="00AA784C" w:rsidRPr="0066700B">
        <w:rPr>
          <w:vertAlign w:val="superscript"/>
        </w:rPr>
        <w:t>s</w:t>
      </w:r>
      <w:r w:rsidR="00AA784C">
        <w:t xml:space="preserve">, in technical appendix </w:t>
      </w:r>
      <w:r w:rsidR="00D23136">
        <w:t xml:space="preserve">A </w:t>
      </w:r>
      <w:r w:rsidR="00AA784C">
        <w:t xml:space="preserve">we show: </w:t>
      </w:r>
    </w:p>
    <w:p w:rsidR="00AA784C" w:rsidRPr="008607D1" w:rsidRDefault="00AA784C" w:rsidP="00AA784C">
      <w:pPr>
        <w:spacing w:line="480" w:lineRule="auto"/>
        <w:ind w:firstLine="720"/>
      </w:pPr>
      <w:r>
        <w:t>β</w:t>
      </w:r>
      <w:r w:rsidRPr="008607D1">
        <w:rPr>
          <w:vertAlign w:val="superscript"/>
          <w:lang w:val="de-DE"/>
        </w:rPr>
        <w:t>s</w:t>
      </w:r>
      <w:r w:rsidRPr="008607D1">
        <w:rPr>
          <w:lang w:val="de-DE"/>
        </w:rPr>
        <w:t xml:space="preserve"> =(1</w:t>
      </w:r>
      <w:r>
        <w:rPr>
          <w:lang w:val="de-DE"/>
        </w:rPr>
        <w:t>−</w:t>
      </w:r>
      <w:r>
        <w:t>π</w:t>
      </w:r>
      <w:r w:rsidRPr="008607D1">
        <w:rPr>
          <w:vertAlign w:val="superscript"/>
          <w:lang w:val="de-DE"/>
        </w:rPr>
        <w:t xml:space="preserve"> </w:t>
      </w:r>
      <w:r>
        <w:rPr>
          <w:vertAlign w:val="superscript"/>
          <w:lang w:val="de-DE"/>
        </w:rPr>
        <w:t>p</w:t>
      </w:r>
      <w:r w:rsidRPr="008607D1">
        <w:rPr>
          <w:lang w:val="de-DE"/>
        </w:rPr>
        <w:t>){( E[Y</w:t>
      </w:r>
      <w:r w:rsidRPr="00CC2489">
        <w:rPr>
          <w:i/>
          <w:vertAlign w:val="superscript"/>
          <w:lang w:val="de-DE"/>
        </w:rPr>
        <w:t>t</w:t>
      </w:r>
      <w:r w:rsidRPr="008607D1">
        <w:rPr>
          <w:lang w:val="de-DE"/>
        </w:rPr>
        <w:t>|</w:t>
      </w:r>
      <w:r>
        <w:rPr>
          <w:lang w:val="de-DE"/>
        </w:rPr>
        <w:t>Z=</w:t>
      </w:r>
      <w:r w:rsidRPr="00425574">
        <w:rPr>
          <w:i/>
          <w:lang w:val="de-DE"/>
        </w:rPr>
        <w:t>p</w:t>
      </w:r>
      <w:r w:rsidRPr="008607D1">
        <w:rPr>
          <w:lang w:val="de-DE"/>
        </w:rPr>
        <w:t>]</w:t>
      </w:r>
      <w:r>
        <w:rPr>
          <w:lang w:val="de-DE"/>
        </w:rPr>
        <w:t>−</w:t>
      </w:r>
      <w:r w:rsidRPr="008607D1">
        <w:rPr>
          <w:lang w:val="de-DE"/>
        </w:rPr>
        <w:t>E[Y</w:t>
      </w:r>
      <w:r w:rsidRPr="00CC2489">
        <w:rPr>
          <w:i/>
          <w:vertAlign w:val="superscript"/>
          <w:lang w:val="de-DE"/>
        </w:rPr>
        <w:t>c</w:t>
      </w:r>
      <w:r w:rsidRPr="008607D1">
        <w:rPr>
          <w:lang w:val="de-DE"/>
        </w:rPr>
        <w:t>|</w:t>
      </w:r>
      <w:r>
        <w:rPr>
          <w:lang w:val="de-DE"/>
        </w:rPr>
        <w:t>Z=</w:t>
      </w:r>
      <w:r w:rsidRPr="00425574">
        <w:rPr>
          <w:i/>
          <w:lang w:val="de-DE"/>
        </w:rPr>
        <w:t>p</w:t>
      </w:r>
      <w:r w:rsidRPr="008607D1">
        <w:rPr>
          <w:lang w:val="de-DE"/>
        </w:rPr>
        <w:t>])</w:t>
      </w:r>
      <w:r>
        <w:rPr>
          <w:lang w:val="de-DE"/>
        </w:rPr>
        <w:t>−</w:t>
      </w:r>
      <w:r w:rsidRPr="008607D1">
        <w:rPr>
          <w:lang w:val="de-DE"/>
        </w:rPr>
        <w:t xml:space="preserve"> (E[Y</w:t>
      </w:r>
      <w:r w:rsidRPr="00CC2489">
        <w:rPr>
          <w:i/>
          <w:vertAlign w:val="superscript"/>
          <w:lang w:val="de-DE"/>
        </w:rPr>
        <w:t>t</w:t>
      </w:r>
      <w:r>
        <w:rPr>
          <w:lang w:val="de-DE"/>
        </w:rPr>
        <w:t>|Z=</w:t>
      </w:r>
      <w:r w:rsidRPr="00425574">
        <w:rPr>
          <w:i/>
          <w:lang w:val="de-DE"/>
        </w:rPr>
        <w:t>p</w:t>
      </w:r>
      <w:r>
        <w:rPr>
          <w:i/>
          <w:color w:val="000000"/>
        </w:rPr>
        <w:t>´</w:t>
      </w:r>
      <w:r>
        <w:rPr>
          <w:lang w:val="de-DE"/>
        </w:rPr>
        <w:t>]−</w:t>
      </w:r>
      <w:r w:rsidRPr="008607D1">
        <w:rPr>
          <w:lang w:val="de-DE"/>
        </w:rPr>
        <w:t>E[Y</w:t>
      </w:r>
      <w:r w:rsidRPr="00CC2489">
        <w:rPr>
          <w:i/>
          <w:vertAlign w:val="superscript"/>
          <w:lang w:val="de-DE"/>
        </w:rPr>
        <w:t>c</w:t>
      </w:r>
      <w:r w:rsidRPr="008607D1">
        <w:rPr>
          <w:lang w:val="de-DE"/>
        </w:rPr>
        <w:t>|</w:t>
      </w:r>
      <w:r>
        <w:rPr>
          <w:lang w:val="de-DE"/>
        </w:rPr>
        <w:t>Z=</w:t>
      </w:r>
      <w:r w:rsidRPr="00425574">
        <w:rPr>
          <w:i/>
          <w:lang w:val="de-DE"/>
        </w:rPr>
        <w:t>p</w:t>
      </w:r>
      <w:r>
        <w:rPr>
          <w:i/>
          <w:color w:val="000000"/>
        </w:rPr>
        <w:t>´</w:t>
      </w:r>
      <w:r w:rsidRPr="008607D1">
        <w:rPr>
          <w:lang w:val="de-DE"/>
        </w:rPr>
        <w:t xml:space="preserve">])} .       </w:t>
      </w:r>
      <w:r w:rsidR="00C653A9">
        <w:t>(8</w:t>
      </w:r>
      <w:r w:rsidRPr="008607D1">
        <w:t>)</w:t>
      </w:r>
    </w:p>
    <w:p w:rsidR="00AA784C" w:rsidRDefault="00AA784C" w:rsidP="001678C1">
      <w:pPr>
        <w:spacing w:after="120" w:line="480" w:lineRule="auto"/>
      </w:pPr>
      <w:r>
        <w:t>In words, the bias is due to an estimate based on 1−π</w:t>
      </w:r>
      <w:r w:rsidRPr="0066700B">
        <w:rPr>
          <w:vertAlign w:val="superscript"/>
        </w:rPr>
        <w:t xml:space="preserve"> </w:t>
      </w:r>
      <w:r>
        <w:rPr>
          <w:vertAlign w:val="superscript"/>
        </w:rPr>
        <w:t>p</w:t>
      </w:r>
      <w:r>
        <w:t xml:space="preserve"> units of </w:t>
      </w:r>
      <w:r>
        <w:rPr>
          <w:i/>
        </w:rPr>
        <w:t xml:space="preserve">p </w:t>
      </w:r>
      <w:r w:rsidRPr="00253007">
        <w:t>with</w:t>
      </w:r>
      <w:r>
        <w:rPr>
          <w:i/>
        </w:rPr>
        <w:t xml:space="preserve"> </w:t>
      </w:r>
      <w:r>
        <w:t xml:space="preserve">effect </w:t>
      </w:r>
      <w:proofErr w:type="gramStart"/>
      <w:r>
        <w:t>E[</w:t>
      </w:r>
      <w:proofErr w:type="spellStart"/>
      <w:proofErr w:type="gramEnd"/>
      <w:r>
        <w:t>Y</w:t>
      </w:r>
      <w:r w:rsidRPr="00CC2489">
        <w:rPr>
          <w:i/>
          <w:vertAlign w:val="superscript"/>
        </w:rPr>
        <w:t>t</w:t>
      </w:r>
      <w:r>
        <w:t>|Z</w:t>
      </w:r>
      <w:proofErr w:type="spellEnd"/>
      <w:r>
        <w:t>=</w:t>
      </w:r>
      <w:r w:rsidRPr="00425574">
        <w:rPr>
          <w:i/>
        </w:rPr>
        <w:t>p</w:t>
      </w:r>
      <w:r>
        <w:t>]−E[</w:t>
      </w:r>
      <w:proofErr w:type="spellStart"/>
      <w:r>
        <w:t>Y</w:t>
      </w:r>
      <w:r w:rsidRPr="00CC2489">
        <w:rPr>
          <w:i/>
          <w:vertAlign w:val="superscript"/>
        </w:rPr>
        <w:t>c</w:t>
      </w:r>
      <w:r>
        <w:t>|Z</w:t>
      </w:r>
      <w:proofErr w:type="spellEnd"/>
      <w:r>
        <w:t>=</w:t>
      </w:r>
      <w:r w:rsidRPr="00425574">
        <w:rPr>
          <w:i/>
        </w:rPr>
        <w:t>p</w:t>
      </w:r>
      <w:r>
        <w:t xml:space="preserve">] instead of units from </w:t>
      </w:r>
      <w:r w:rsidRPr="00425574">
        <w:rPr>
          <w:i/>
        </w:rPr>
        <w:t>p</w:t>
      </w:r>
      <w:r>
        <w:rPr>
          <w:i/>
          <w:color w:val="000000"/>
        </w:rPr>
        <w:t>´</w:t>
      </w:r>
      <w:r>
        <w:t xml:space="preserve"> with effect E[</w:t>
      </w:r>
      <w:proofErr w:type="spellStart"/>
      <w:r>
        <w:t>Y</w:t>
      </w:r>
      <w:r w:rsidRPr="00CC2489">
        <w:rPr>
          <w:i/>
          <w:vertAlign w:val="superscript"/>
        </w:rPr>
        <w:t>t</w:t>
      </w:r>
      <w:r>
        <w:t>|Z</w:t>
      </w:r>
      <w:proofErr w:type="spellEnd"/>
      <w:r>
        <w:t>=</w:t>
      </w:r>
      <w:r w:rsidRPr="00425574">
        <w:rPr>
          <w:i/>
        </w:rPr>
        <w:t>p</w:t>
      </w:r>
      <w:r>
        <w:rPr>
          <w:i/>
          <w:color w:val="000000"/>
        </w:rPr>
        <w:t>´</w:t>
      </w:r>
      <w:r>
        <w:t>]−E[</w:t>
      </w:r>
      <w:proofErr w:type="spellStart"/>
      <w:r>
        <w:t>Y</w:t>
      </w:r>
      <w:r w:rsidRPr="00CC2489">
        <w:rPr>
          <w:i/>
          <w:vertAlign w:val="superscript"/>
        </w:rPr>
        <w:t>c</w:t>
      </w:r>
      <w:r>
        <w:t>|Z</w:t>
      </w:r>
      <w:proofErr w:type="spellEnd"/>
      <w:r>
        <w:t>=</w:t>
      </w:r>
      <w:r w:rsidRPr="00425574">
        <w:rPr>
          <w:i/>
        </w:rPr>
        <w:t>p</w:t>
      </w:r>
      <w:r>
        <w:rPr>
          <w:i/>
          <w:color w:val="000000"/>
        </w:rPr>
        <w:t>´</w:t>
      </w:r>
      <w:r>
        <w:t>].</w:t>
      </w:r>
      <w:r w:rsidR="00904E62">
        <w:t xml:space="preserve">  </w:t>
      </w:r>
      <w:r w:rsidR="008B36F0">
        <w:t>Equations (7</w:t>
      </w:r>
      <w:r w:rsidR="00C32F99">
        <w:t xml:space="preserve">) and (8) show how </w:t>
      </w:r>
      <w:r w:rsidR="00904E62">
        <w:t>RCM can be used to generate expressions for bias due to non-random sampling as well as non-random assignment to treatments.</w:t>
      </w:r>
      <w:r w:rsidR="00031F73">
        <w:t xml:space="preserve">  </w:t>
      </w:r>
      <w:proofErr w:type="gramStart"/>
      <w:r w:rsidR="00031F73">
        <w:rPr>
          <w:vertAlign w:val="superscript"/>
        </w:rPr>
        <w:t>ii</w:t>
      </w:r>
      <w:proofErr w:type="gramEnd"/>
      <w:r w:rsidR="00904E62">
        <w:t xml:space="preserve"> </w:t>
      </w:r>
    </w:p>
    <w:p w:rsidR="00AA784C" w:rsidRDefault="00AA784C" w:rsidP="00073B98">
      <w:pPr>
        <w:spacing w:after="120" w:line="480" w:lineRule="auto"/>
        <w:jc w:val="center"/>
        <w:rPr>
          <w:i/>
          <w:lang w:val="fr-FR"/>
        </w:rPr>
      </w:pPr>
      <w:proofErr w:type="spellStart"/>
      <w:r>
        <w:rPr>
          <w:i/>
          <w:lang w:val="fr-FR"/>
        </w:rPr>
        <w:t>Limiting</w:t>
      </w:r>
      <w:proofErr w:type="spellEnd"/>
      <w:r>
        <w:rPr>
          <w:i/>
          <w:lang w:val="fr-FR"/>
        </w:rPr>
        <w:t xml:space="preserve"> Condition</w:t>
      </w:r>
      <w:r w:rsidR="00004094">
        <w:rPr>
          <w:i/>
          <w:lang w:val="fr-FR"/>
        </w:rPr>
        <w:t xml:space="preserve">: </w:t>
      </w:r>
      <w:r>
        <w:rPr>
          <w:i/>
          <w:lang w:val="fr-FR"/>
        </w:rPr>
        <w:t xml:space="preserve">No </w:t>
      </w:r>
      <w:proofErr w:type="spellStart"/>
      <w:r>
        <w:rPr>
          <w:i/>
          <w:lang w:val="fr-FR"/>
        </w:rPr>
        <w:t>Treatment</w:t>
      </w:r>
      <w:proofErr w:type="spellEnd"/>
      <w:r>
        <w:rPr>
          <w:i/>
          <w:lang w:val="fr-FR"/>
        </w:rPr>
        <w:t xml:space="preserve"> </w:t>
      </w:r>
      <w:proofErr w:type="spellStart"/>
      <w:r>
        <w:rPr>
          <w:i/>
          <w:lang w:val="fr-FR"/>
        </w:rPr>
        <w:t>Effect</w:t>
      </w:r>
      <w:proofErr w:type="spellEnd"/>
    </w:p>
    <w:p w:rsidR="003E0BB8" w:rsidRDefault="00B631DE" w:rsidP="00AA784C">
      <w:pPr>
        <w:widowControl w:val="0"/>
        <w:spacing w:line="480" w:lineRule="auto"/>
        <w:ind w:firstLine="720"/>
        <w:rPr>
          <w:color w:val="000000"/>
        </w:rPr>
      </w:pPr>
      <w:r>
        <w:rPr>
          <w:color w:val="000000"/>
        </w:rPr>
        <w:t>Expressions (6) and (8) can be used to quantify t</w:t>
      </w:r>
      <w:r w:rsidR="00AA784C">
        <w:rPr>
          <w:color w:val="000000"/>
        </w:rPr>
        <w:t xml:space="preserve">he robustness of an inference </w:t>
      </w:r>
      <w:r>
        <w:rPr>
          <w:color w:val="000000"/>
        </w:rPr>
        <w:t xml:space="preserve">by considering replacing observed data with hypothetical data under the limiting condition of no </w:t>
      </w:r>
      <w:r>
        <w:rPr>
          <w:color w:val="000000"/>
        </w:rPr>
        <w:lastRenderedPageBreak/>
        <w:t xml:space="preserve">treatment effect in the hypothetical data. </w:t>
      </w:r>
      <w:r w:rsidR="009A1C05">
        <w:rPr>
          <w:color w:val="000000"/>
        </w:rPr>
        <w:t xml:space="preserve">Interpreting bias in terms of replacement data expresses validity in terms of the exchangeability of observed and unobserved cases. </w:t>
      </w:r>
      <w:r w:rsidR="003E0BB8">
        <w:rPr>
          <w:color w:val="000000"/>
        </w:rPr>
        <w:t xml:space="preserve">External validity concerns about bias due to a non-random sample can be cast in terms of the proportion of cases in the observable population </w:t>
      </w:r>
      <w:r w:rsidR="003E0BB8">
        <w:rPr>
          <w:i/>
          <w:color w:val="000000"/>
        </w:rPr>
        <w:t xml:space="preserve">p </w:t>
      </w:r>
      <w:r w:rsidR="003E0BB8">
        <w:rPr>
          <w:color w:val="000000"/>
        </w:rPr>
        <w:t xml:space="preserve"> that are </w:t>
      </w:r>
      <w:proofErr w:type="spellStart"/>
      <w:r w:rsidR="00974EB5">
        <w:rPr>
          <w:color w:val="000000"/>
        </w:rPr>
        <w:t>unexchangeable</w:t>
      </w:r>
      <w:proofErr w:type="spellEnd"/>
      <w:r w:rsidR="00974EB5">
        <w:rPr>
          <w:color w:val="000000"/>
        </w:rPr>
        <w:t xml:space="preserve"> with </w:t>
      </w:r>
      <w:r w:rsidR="003E0BB8">
        <w:rPr>
          <w:color w:val="000000"/>
        </w:rPr>
        <w:t xml:space="preserve">the unobservable population </w:t>
      </w:r>
      <w:r w:rsidR="003E0BB8" w:rsidRPr="00425574">
        <w:rPr>
          <w:i/>
        </w:rPr>
        <w:t>p</w:t>
      </w:r>
      <w:r w:rsidR="003E0BB8">
        <w:rPr>
          <w:i/>
          <w:color w:val="000000"/>
        </w:rPr>
        <w:t xml:space="preserve">´ </w:t>
      </w:r>
      <w:r w:rsidR="00974EB5">
        <w:rPr>
          <w:color w:val="000000"/>
        </w:rPr>
        <w:t xml:space="preserve">in the sense </w:t>
      </w:r>
      <w:r w:rsidR="003E0BB8">
        <w:rPr>
          <w:color w:val="000000"/>
        </w:rPr>
        <w:t xml:space="preserve">that one must replace the proportion in </w:t>
      </w:r>
      <w:r w:rsidR="003E0BB8">
        <w:rPr>
          <w:i/>
          <w:color w:val="000000"/>
        </w:rPr>
        <w:t xml:space="preserve">p </w:t>
      </w:r>
      <w:r w:rsidR="003E0BB8">
        <w:rPr>
          <w:color w:val="000000"/>
        </w:rPr>
        <w:t xml:space="preserve">to make a causal inference that applies to </w:t>
      </w:r>
      <w:r w:rsidR="003E0BB8" w:rsidRPr="00425574">
        <w:rPr>
          <w:i/>
        </w:rPr>
        <w:t>p</w:t>
      </w:r>
      <w:r w:rsidR="003E0BB8">
        <w:t xml:space="preserve"> and </w:t>
      </w:r>
      <w:r w:rsidR="003E0BB8" w:rsidRPr="00425574">
        <w:rPr>
          <w:i/>
        </w:rPr>
        <w:t>p</w:t>
      </w:r>
      <w:r w:rsidR="003E0BB8">
        <w:rPr>
          <w:i/>
          <w:color w:val="000000"/>
        </w:rPr>
        <w:t>´</w:t>
      </w:r>
      <w:r w:rsidR="003E0BB8">
        <w:rPr>
          <w:color w:val="000000"/>
        </w:rPr>
        <w:t xml:space="preserve">.  Similarly, internal validity concerns about bias due to non-random treatment assignment can be cast in terms of the proportion of the observed cases that are </w:t>
      </w:r>
      <w:proofErr w:type="spellStart"/>
      <w:r w:rsidR="00974EB5">
        <w:rPr>
          <w:color w:val="000000"/>
        </w:rPr>
        <w:t>unexchangeable</w:t>
      </w:r>
      <w:proofErr w:type="spellEnd"/>
      <w:r w:rsidR="00974EB5">
        <w:rPr>
          <w:color w:val="000000"/>
        </w:rPr>
        <w:t xml:space="preserve"> with </w:t>
      </w:r>
      <w:r w:rsidR="003E0BB8">
        <w:rPr>
          <w:color w:val="000000"/>
        </w:rPr>
        <w:t>the optimal counterfactual cases such that one must replace the proportion of observed cases to make a causal inference in the sample.</w:t>
      </w:r>
    </w:p>
    <w:p w:rsidR="00AA784C" w:rsidRDefault="001678C1" w:rsidP="00AA784C">
      <w:pPr>
        <w:widowControl w:val="0"/>
        <w:spacing w:line="480" w:lineRule="auto"/>
        <w:ind w:firstLine="720"/>
      </w:pPr>
      <w:proofErr w:type="gramStart"/>
      <w:r>
        <w:rPr>
          <w:i/>
          <w:color w:val="000000"/>
        </w:rPr>
        <w:t>Non-random sampling.</w:t>
      </w:r>
      <w:proofErr w:type="gramEnd"/>
      <w:r>
        <w:rPr>
          <w:i/>
          <w:color w:val="000000"/>
        </w:rPr>
        <w:t xml:space="preserve"> </w:t>
      </w:r>
      <w:r>
        <w:rPr>
          <w:color w:val="000000"/>
        </w:rPr>
        <w:t>B</w:t>
      </w:r>
      <w:r w:rsidR="00AA784C">
        <w:rPr>
          <w:color w:val="000000"/>
        </w:rPr>
        <w:t xml:space="preserve">ias </w:t>
      </w:r>
      <w:r w:rsidR="00C653A9">
        <w:rPr>
          <w:color w:val="000000"/>
        </w:rPr>
        <w:t>due to non-random sampling in (8</w:t>
      </w:r>
      <w:r w:rsidR="00AA784C">
        <w:rPr>
          <w:color w:val="000000"/>
        </w:rPr>
        <w:t xml:space="preserve">) can be expressed by assuming the null hypothesis of zero effect holds in the replacement units as might be claimed by a skeptic of the inference (Frank &amp; Min, 2007).  In this case, </w:t>
      </w:r>
      <w:proofErr w:type="gramStart"/>
      <w:r w:rsidR="00AA784C" w:rsidRPr="005E6213">
        <w:t>E[</w:t>
      </w:r>
      <w:proofErr w:type="spellStart"/>
      <w:proofErr w:type="gramEnd"/>
      <w:r w:rsidR="00AA784C" w:rsidRPr="005E6213">
        <w:t>Y</w:t>
      </w:r>
      <w:r w:rsidR="00AA784C" w:rsidRPr="00CC2489">
        <w:rPr>
          <w:i/>
          <w:vertAlign w:val="superscript"/>
        </w:rPr>
        <w:t>t</w:t>
      </w:r>
      <w:r w:rsidR="00AA784C" w:rsidRPr="005E6213">
        <w:t>|</w:t>
      </w:r>
      <w:r w:rsidR="00AA784C">
        <w:t>Z</w:t>
      </w:r>
      <w:proofErr w:type="spellEnd"/>
      <w:r w:rsidR="00AA784C">
        <w:t>=</w:t>
      </w:r>
      <w:r w:rsidR="00AA784C" w:rsidRPr="00425574">
        <w:rPr>
          <w:i/>
        </w:rPr>
        <w:t>p</w:t>
      </w:r>
      <w:r w:rsidR="00AA784C">
        <w:rPr>
          <w:i/>
          <w:color w:val="000000"/>
        </w:rPr>
        <w:t>´</w:t>
      </w:r>
      <w:r w:rsidR="00AA784C" w:rsidRPr="005E6213">
        <w:t>]</w:t>
      </w:r>
      <w:r w:rsidR="00AA784C">
        <w:t xml:space="preserve"> = </w:t>
      </w:r>
      <w:r w:rsidR="00AA784C" w:rsidRPr="005E6213">
        <w:t>E[</w:t>
      </w:r>
      <w:proofErr w:type="spellStart"/>
      <w:r w:rsidR="00AA784C" w:rsidRPr="005E6213">
        <w:t>Y</w:t>
      </w:r>
      <w:r w:rsidR="00AA784C" w:rsidRPr="00CC2489">
        <w:rPr>
          <w:i/>
          <w:vertAlign w:val="superscript"/>
        </w:rPr>
        <w:t>c</w:t>
      </w:r>
      <w:r w:rsidR="00AA784C">
        <w:t>|Z</w:t>
      </w:r>
      <w:proofErr w:type="spellEnd"/>
      <w:r w:rsidR="00AA784C">
        <w:t>=</w:t>
      </w:r>
      <w:r w:rsidR="00AA784C" w:rsidRPr="00425574">
        <w:rPr>
          <w:i/>
        </w:rPr>
        <w:t>p</w:t>
      </w:r>
      <w:r w:rsidR="00AA784C">
        <w:rPr>
          <w:i/>
          <w:color w:val="000000"/>
        </w:rPr>
        <w:t>´</w:t>
      </w:r>
      <w:r w:rsidR="00C653A9">
        <w:t xml:space="preserve">] and </w:t>
      </w:r>
      <w:r>
        <w:t xml:space="preserve">substituting into </w:t>
      </w:r>
      <w:r w:rsidR="00C653A9">
        <w:t>(8</w:t>
      </w:r>
      <w:r w:rsidR="00AA784C">
        <w:t>) yields:</w:t>
      </w:r>
    </w:p>
    <w:p w:rsidR="00AA784C" w:rsidRPr="008607D1" w:rsidRDefault="00AA784C" w:rsidP="00AA784C">
      <w:pPr>
        <w:widowControl w:val="0"/>
        <w:spacing w:line="480" w:lineRule="auto"/>
        <w:ind w:firstLine="720"/>
        <w:rPr>
          <w:color w:val="000000"/>
        </w:rPr>
      </w:pPr>
      <w:proofErr w:type="gramStart"/>
      <w:r>
        <w:t>β</w:t>
      </w:r>
      <w:r w:rsidRPr="009478E0">
        <w:rPr>
          <w:vertAlign w:val="superscript"/>
          <w:lang w:val="de-DE"/>
        </w:rPr>
        <w:t>s</w:t>
      </w:r>
      <w:proofErr w:type="gramEnd"/>
      <w:r w:rsidRPr="009478E0">
        <w:rPr>
          <w:lang w:val="de-DE"/>
        </w:rPr>
        <w:t xml:space="preserve"> =(1</w:t>
      </w:r>
      <w:r>
        <w:rPr>
          <w:lang w:val="de-DE"/>
        </w:rPr>
        <w:t>−</w:t>
      </w:r>
      <w:r>
        <w:t>π</w:t>
      </w:r>
      <w:r w:rsidRPr="009478E0">
        <w:rPr>
          <w:vertAlign w:val="superscript"/>
          <w:lang w:val="de-DE"/>
        </w:rPr>
        <w:t xml:space="preserve"> </w:t>
      </w:r>
      <w:r w:rsidRPr="00CC2489">
        <w:rPr>
          <w:i/>
          <w:vertAlign w:val="superscript"/>
          <w:lang w:val="de-DE"/>
        </w:rPr>
        <w:t>p</w:t>
      </w:r>
      <w:r w:rsidRPr="009478E0">
        <w:rPr>
          <w:lang w:val="de-DE"/>
        </w:rPr>
        <w:t>){ E[Y</w:t>
      </w:r>
      <w:r w:rsidRPr="00CC2489">
        <w:rPr>
          <w:i/>
          <w:vertAlign w:val="superscript"/>
          <w:lang w:val="de-DE"/>
        </w:rPr>
        <w:t>t</w:t>
      </w:r>
      <w:r w:rsidRPr="009478E0">
        <w:rPr>
          <w:lang w:val="de-DE"/>
        </w:rPr>
        <w:t>|</w:t>
      </w:r>
      <w:r>
        <w:rPr>
          <w:lang w:val="de-DE"/>
        </w:rPr>
        <w:t>Z=</w:t>
      </w:r>
      <w:r w:rsidRPr="00425574">
        <w:rPr>
          <w:i/>
          <w:lang w:val="de-DE"/>
        </w:rPr>
        <w:t>p</w:t>
      </w:r>
      <w:r w:rsidRPr="009478E0">
        <w:rPr>
          <w:lang w:val="de-DE"/>
        </w:rPr>
        <w:t xml:space="preserve">] </w:t>
      </w:r>
      <w:r>
        <w:rPr>
          <w:lang w:val="de-DE"/>
        </w:rPr>
        <w:t>−</w:t>
      </w:r>
      <w:r w:rsidRPr="009478E0">
        <w:rPr>
          <w:lang w:val="de-DE"/>
        </w:rPr>
        <w:t xml:space="preserve"> E[Y</w:t>
      </w:r>
      <w:r w:rsidRPr="00CC2489">
        <w:rPr>
          <w:i/>
          <w:vertAlign w:val="superscript"/>
          <w:lang w:val="de-DE"/>
        </w:rPr>
        <w:t>c</w:t>
      </w:r>
      <w:r w:rsidRPr="009478E0">
        <w:rPr>
          <w:lang w:val="de-DE"/>
        </w:rPr>
        <w:t>|</w:t>
      </w:r>
      <w:r>
        <w:rPr>
          <w:lang w:val="de-DE"/>
        </w:rPr>
        <w:t>Z=</w:t>
      </w:r>
      <w:r w:rsidRPr="00425574">
        <w:rPr>
          <w:i/>
          <w:lang w:val="de-DE"/>
        </w:rPr>
        <w:t>p</w:t>
      </w:r>
      <w:r w:rsidRPr="009478E0">
        <w:rPr>
          <w:lang w:val="de-DE"/>
        </w:rPr>
        <w:t>]}</w:t>
      </w:r>
      <w:r>
        <w:rPr>
          <w:lang w:val="de-DE"/>
        </w:rPr>
        <w:t xml:space="preserve"> = </w:t>
      </w:r>
      <w:r w:rsidRPr="009478E0">
        <w:rPr>
          <w:lang w:val="de-DE"/>
        </w:rPr>
        <w:t>(1</w:t>
      </w:r>
      <w:r>
        <w:rPr>
          <w:lang w:val="de-DE"/>
        </w:rPr>
        <w:t>−</w:t>
      </w:r>
      <w:r>
        <w:t>π</w:t>
      </w:r>
      <w:r w:rsidRPr="009478E0">
        <w:rPr>
          <w:vertAlign w:val="superscript"/>
          <w:lang w:val="de-DE"/>
        </w:rPr>
        <w:t xml:space="preserve"> </w:t>
      </w:r>
      <w:r w:rsidRPr="00CC2489">
        <w:rPr>
          <w:i/>
          <w:vertAlign w:val="superscript"/>
          <w:lang w:val="de-DE"/>
        </w:rPr>
        <w:t>p</w:t>
      </w:r>
      <w:r w:rsidRPr="009478E0">
        <w:rPr>
          <w:lang w:val="de-DE"/>
        </w:rPr>
        <w:t>)</w:t>
      </w:r>
      <w:r w:rsidRPr="00321B62">
        <w:rPr>
          <w:position w:val="-6"/>
          <w:sz w:val="20"/>
          <w:lang w:val="de-DE"/>
        </w:rPr>
        <w:t xml:space="preserve"> </w:t>
      </w:r>
      <w:r w:rsidRPr="008A0275">
        <w:rPr>
          <w:position w:val="-6"/>
          <w:sz w:val="20"/>
          <w:lang w:val="de-DE"/>
        </w:rPr>
        <w:object w:dxaOrig="180" w:dyaOrig="340">
          <v:shape id="_x0000_i1053" type="#_x0000_t75" style="width:9pt;height:17.25pt" o:ole="" fillcolor="window">
            <v:imagedata r:id="rId48" o:title=""/>
          </v:shape>
          <o:OLEObject Type="Embed" ProgID="Equation.DSMT4" ShapeID="_x0000_i1053" DrawAspect="Content" ObjectID="_1478976170" r:id="rId49"/>
        </w:object>
      </w:r>
      <w:r w:rsidRPr="009478E0">
        <w:rPr>
          <w:lang w:val="de-DE"/>
        </w:rPr>
        <w:t xml:space="preserve">.  </w:t>
      </w:r>
      <w:r w:rsidR="00C653A9">
        <w:t>(9</w:t>
      </w:r>
      <w:r w:rsidRPr="008607D1">
        <w:t>)</w:t>
      </w:r>
    </w:p>
    <w:p w:rsidR="00AA784C" w:rsidRDefault="00AA784C" w:rsidP="00AA784C">
      <w:pPr>
        <w:widowControl w:val="0"/>
        <w:spacing w:line="480" w:lineRule="auto"/>
        <w:rPr>
          <w:color w:val="000000"/>
        </w:rPr>
      </w:pPr>
      <w:r>
        <w:rPr>
          <w:color w:val="000000"/>
        </w:rPr>
        <w:t xml:space="preserve">Setting </w:t>
      </w:r>
      <w:r>
        <w:t>β</w:t>
      </w:r>
      <w:r w:rsidRPr="005E6213">
        <w:rPr>
          <w:vertAlign w:val="superscript"/>
        </w:rPr>
        <w:t>s</w:t>
      </w:r>
      <w:r>
        <w:rPr>
          <w:color w:val="000000"/>
        </w:rPr>
        <w:t xml:space="preserve"> &gt; </w:t>
      </w:r>
      <w:r w:rsidRPr="008A0275">
        <w:rPr>
          <w:position w:val="-6"/>
          <w:sz w:val="20"/>
          <w:lang w:val="de-DE"/>
        </w:rPr>
        <w:object w:dxaOrig="180" w:dyaOrig="340">
          <v:shape id="_x0000_i1054" type="#_x0000_t75" style="width:9pt;height:17.25pt" o:ole="" fillcolor="window">
            <v:imagedata r:id="rId48" o:title=""/>
          </v:shape>
          <o:OLEObject Type="Embed" ProgID="Equation.DSMT4" ShapeID="_x0000_i1054" DrawAspect="Content" ObjectID="_1478976171" r:id="rId50"/>
        </w:object>
      </w:r>
      <w:r>
        <w:rPr>
          <w:color w:val="000000"/>
        </w:rPr>
        <w:t>−δ</w:t>
      </w:r>
      <w:r w:rsidRPr="005A076A">
        <w:rPr>
          <w:color w:val="000000"/>
          <w:vertAlign w:val="superscript"/>
        </w:rPr>
        <w:t>#</w:t>
      </w:r>
      <w:r>
        <w:rPr>
          <w:color w:val="000000"/>
          <w:vertAlign w:val="superscript"/>
        </w:rPr>
        <w:t xml:space="preserve"> </w:t>
      </w:r>
      <w:r w:rsidR="00C653A9">
        <w:rPr>
          <w:color w:val="000000"/>
        </w:rPr>
        <w:t>and solving (9</w:t>
      </w:r>
      <w:r>
        <w:rPr>
          <w:color w:val="000000"/>
        </w:rPr>
        <w:t>) for (1−</w:t>
      </w:r>
      <w:r>
        <w:t>π</w:t>
      </w:r>
      <w:r w:rsidRPr="005E6213">
        <w:rPr>
          <w:vertAlign w:val="superscript"/>
        </w:rPr>
        <w:t xml:space="preserve"> </w:t>
      </w:r>
      <w:r w:rsidRPr="00CC2489">
        <w:rPr>
          <w:i/>
          <w:vertAlign w:val="superscript"/>
        </w:rPr>
        <w:t>p</w:t>
      </w:r>
      <w:r>
        <w:rPr>
          <w:color w:val="000000"/>
        </w:rPr>
        <w:t>), the inference is invalid if:</w:t>
      </w:r>
    </w:p>
    <w:p w:rsidR="00AA784C" w:rsidRDefault="00AA784C" w:rsidP="00AA784C">
      <w:pPr>
        <w:widowControl w:val="0"/>
        <w:spacing w:line="480" w:lineRule="auto"/>
        <w:rPr>
          <w:color w:val="000000"/>
        </w:rPr>
      </w:pPr>
      <w:r w:rsidRPr="005E6213">
        <w:t>(1</w:t>
      </w:r>
      <w:r>
        <w:t>−π</w:t>
      </w:r>
      <w:r w:rsidRPr="005E6213">
        <w:rPr>
          <w:vertAlign w:val="superscript"/>
        </w:rPr>
        <w:t xml:space="preserve"> </w:t>
      </w:r>
      <w:r w:rsidRPr="00CC2489">
        <w:rPr>
          <w:i/>
          <w:vertAlign w:val="superscript"/>
        </w:rPr>
        <w:t>p</w:t>
      </w:r>
      <w:r>
        <w:t>) &gt;1−</w:t>
      </w:r>
      <w:r w:rsidRPr="008607D1">
        <w:rPr>
          <w:color w:val="000000"/>
        </w:rPr>
        <w:t xml:space="preserve"> </w:t>
      </w:r>
      <w:r>
        <w:rPr>
          <w:color w:val="000000"/>
        </w:rPr>
        <w:t>δ</w:t>
      </w:r>
      <w:r w:rsidRPr="005A076A">
        <w:rPr>
          <w:color w:val="000000"/>
          <w:vertAlign w:val="superscript"/>
        </w:rPr>
        <w:t>#</w:t>
      </w:r>
      <w:r>
        <w:rPr>
          <w:color w:val="000000"/>
          <w:vertAlign w:val="superscript"/>
        </w:rPr>
        <w:t xml:space="preserve"> </w:t>
      </w:r>
      <w:r>
        <w:rPr>
          <w:color w:val="000000"/>
        </w:rPr>
        <w:t>/</w:t>
      </w:r>
      <w:r w:rsidRPr="008A0275">
        <w:rPr>
          <w:position w:val="-6"/>
          <w:sz w:val="20"/>
          <w:lang w:val="de-DE"/>
        </w:rPr>
        <w:object w:dxaOrig="180" w:dyaOrig="340">
          <v:shape id="_x0000_i1055" type="#_x0000_t75" style="width:9pt;height:17.25pt" o:ole="" fillcolor="window">
            <v:imagedata r:id="rId48" o:title=""/>
          </v:shape>
          <o:OLEObject Type="Embed" ProgID="Equation.DSMT4" ShapeID="_x0000_i1055" DrawAspect="Content" ObjectID="_1478976172" r:id="rId51"/>
        </w:object>
      </w:r>
      <w:r w:rsidR="00C653A9">
        <w:rPr>
          <w:color w:val="000000"/>
        </w:rPr>
        <w:t>.   (10</w:t>
      </w:r>
      <w:r>
        <w:rPr>
          <w:color w:val="000000"/>
        </w:rPr>
        <w:t>)</w:t>
      </w:r>
    </w:p>
    <w:p w:rsidR="00AA784C" w:rsidRDefault="001678C1" w:rsidP="00AA784C">
      <w:pPr>
        <w:widowControl w:val="0"/>
        <w:spacing w:line="480" w:lineRule="auto"/>
        <w:rPr>
          <w:color w:val="000000"/>
        </w:rPr>
      </w:pPr>
      <w:r>
        <w:t>Equation (10) is particular example of the bias necessary to invalidate an inference shown in (4), in this case in terms of bias due to non-random sampling associated with π</w:t>
      </w:r>
      <w:r w:rsidRPr="005E6213">
        <w:rPr>
          <w:vertAlign w:val="superscript"/>
        </w:rPr>
        <w:t xml:space="preserve"> </w:t>
      </w:r>
      <w:r w:rsidRPr="00CC2489">
        <w:rPr>
          <w:i/>
          <w:vertAlign w:val="superscript"/>
        </w:rPr>
        <w:t>p</w:t>
      </w:r>
      <w:r>
        <w:t xml:space="preserve"> </w:t>
      </w:r>
      <w:r w:rsidR="00724B8D">
        <w:rPr>
          <w:color w:val="000000"/>
        </w:rPr>
        <w:t xml:space="preserve">(this replicates the result in Frank </w:t>
      </w:r>
      <w:r w:rsidR="0027512D">
        <w:rPr>
          <w:color w:val="000000"/>
        </w:rPr>
        <w:t xml:space="preserve">&amp; </w:t>
      </w:r>
      <w:r w:rsidR="00724B8D">
        <w:rPr>
          <w:color w:val="000000"/>
        </w:rPr>
        <w:t>Min, 2007)</w:t>
      </w:r>
      <w:r w:rsidR="00724B8D">
        <w:t>.</w:t>
      </w:r>
      <w:r w:rsidR="00AA784C">
        <w:rPr>
          <w:lang w:val="de-DE"/>
        </w:rPr>
        <w:t xml:space="preserve"> </w:t>
      </w:r>
      <w:r w:rsidR="00724B8D">
        <w:rPr>
          <w:lang w:val="de-DE"/>
        </w:rPr>
        <w:t xml:space="preserve"> </w:t>
      </w:r>
    </w:p>
    <w:p w:rsidR="00AA784C" w:rsidRDefault="001678C1" w:rsidP="00AA784C">
      <w:pPr>
        <w:widowControl w:val="0"/>
        <w:spacing w:line="480" w:lineRule="auto"/>
        <w:ind w:firstLine="720"/>
        <w:rPr>
          <w:color w:val="000000"/>
        </w:rPr>
      </w:pPr>
      <w:proofErr w:type="gramStart"/>
      <w:r>
        <w:rPr>
          <w:i/>
          <w:color w:val="000000"/>
        </w:rPr>
        <w:t>Non-random assignment to treatments.</w:t>
      </w:r>
      <w:proofErr w:type="gramEnd"/>
      <w:r>
        <w:rPr>
          <w:i/>
          <w:color w:val="000000"/>
        </w:rPr>
        <w:t xml:space="preserve"> </w:t>
      </w:r>
      <w:r>
        <w:rPr>
          <w:color w:val="000000"/>
        </w:rPr>
        <w:t>W</w:t>
      </w:r>
      <w:r w:rsidR="00C653A9">
        <w:rPr>
          <w:color w:val="000000"/>
        </w:rPr>
        <w:t>e can use equation (6</w:t>
      </w:r>
      <w:r w:rsidR="00AA784C">
        <w:rPr>
          <w:color w:val="000000"/>
        </w:rPr>
        <w:t xml:space="preserve">) to isolate the conditions that could invalidate an inference due to bias </w:t>
      </w:r>
      <w:r w:rsidR="00B631DE">
        <w:rPr>
          <w:color w:val="000000"/>
        </w:rPr>
        <w:t xml:space="preserve">from </w:t>
      </w:r>
      <w:r w:rsidR="00AA784C">
        <w:rPr>
          <w:color w:val="000000"/>
        </w:rPr>
        <w:t>non-random assignment to treatment conditions. Following Morgan</w:t>
      </w:r>
      <w:r w:rsidR="00C653A9">
        <w:rPr>
          <w:color w:val="000000"/>
        </w:rPr>
        <w:t xml:space="preserve"> and Winship (2007, page 46), (6</w:t>
      </w:r>
      <w:r w:rsidR="00AA784C">
        <w:rPr>
          <w:color w:val="000000"/>
        </w:rPr>
        <w:t>) can be rewritten as:</w:t>
      </w:r>
    </w:p>
    <w:p w:rsidR="00AA784C" w:rsidRPr="00565018" w:rsidRDefault="00AA784C" w:rsidP="00AA784C">
      <w:pPr>
        <w:spacing w:line="480" w:lineRule="auto"/>
      </w:pPr>
      <w:r w:rsidRPr="00AE0C05">
        <w:tab/>
      </w:r>
      <w:proofErr w:type="gramStart"/>
      <w:r>
        <w:t>β</w:t>
      </w:r>
      <w:r w:rsidRPr="00565018">
        <w:rPr>
          <w:vertAlign w:val="superscript"/>
        </w:rPr>
        <w:t>a</w:t>
      </w:r>
      <w:proofErr w:type="gramEnd"/>
      <w:r w:rsidRPr="00565018">
        <w:t>= {E[</w:t>
      </w:r>
      <w:proofErr w:type="spellStart"/>
      <w:r w:rsidRPr="00565018">
        <w:t>Y</w:t>
      </w:r>
      <w:r w:rsidRPr="00CC2489">
        <w:rPr>
          <w:i/>
          <w:vertAlign w:val="superscript"/>
        </w:rPr>
        <w:t>c</w:t>
      </w:r>
      <w:r w:rsidRPr="00565018">
        <w:t>|X</w:t>
      </w:r>
      <w:proofErr w:type="spellEnd"/>
      <w:r w:rsidRPr="00CC2489">
        <w:rPr>
          <w:i/>
        </w:rPr>
        <w:t>=t</w:t>
      </w:r>
      <w:r w:rsidRPr="00565018">
        <w:t>]</w:t>
      </w:r>
      <w:r>
        <w:t>−</w:t>
      </w:r>
      <w:r w:rsidRPr="00565018">
        <w:t>E[</w:t>
      </w:r>
      <w:proofErr w:type="spellStart"/>
      <w:r w:rsidRPr="00565018">
        <w:t>Y</w:t>
      </w:r>
      <w:r w:rsidRPr="00CC2489">
        <w:rPr>
          <w:i/>
          <w:vertAlign w:val="superscript"/>
        </w:rPr>
        <w:t>c</w:t>
      </w:r>
      <w:r w:rsidRPr="00565018">
        <w:t>|X</w:t>
      </w:r>
      <w:proofErr w:type="spellEnd"/>
      <w:r w:rsidRPr="00CC2489">
        <w:rPr>
          <w:i/>
        </w:rPr>
        <w:t>=c</w:t>
      </w:r>
      <w:r w:rsidRPr="00565018">
        <w:t>]}+</w:t>
      </w:r>
    </w:p>
    <w:p w:rsidR="00AA784C" w:rsidRPr="00565018" w:rsidRDefault="00AA784C" w:rsidP="00AA784C">
      <w:pPr>
        <w:spacing w:line="480" w:lineRule="auto"/>
        <w:ind w:firstLine="720"/>
      </w:pPr>
      <w:r w:rsidRPr="00AE0C05">
        <w:rPr>
          <w:lang w:val="de-DE"/>
        </w:rPr>
        <w:lastRenderedPageBreak/>
        <w:t>(1</w:t>
      </w:r>
      <w:r>
        <w:rPr>
          <w:lang w:val="de-DE"/>
        </w:rPr>
        <w:t>−</w:t>
      </w:r>
      <w:r>
        <w:t>π</w:t>
      </w:r>
      <w:r w:rsidRPr="00DB48A2">
        <w:rPr>
          <w:position w:val="-4"/>
          <w:lang w:val="de-DE"/>
        </w:rPr>
        <w:object w:dxaOrig="120" w:dyaOrig="300">
          <v:shape id="_x0000_i1056" type="#_x0000_t75" style="width:6.75pt;height:15pt" o:ole="">
            <v:imagedata r:id="rId37" o:title=""/>
          </v:shape>
          <o:OLEObject Type="Embed" ProgID="Equation.DSMT4" ShapeID="_x0000_i1056" DrawAspect="Content" ObjectID="_1478976173" r:id="rId52"/>
        </w:object>
      </w:r>
      <w:r w:rsidRPr="00AE0C05">
        <w:rPr>
          <w:lang w:val="de-DE"/>
        </w:rPr>
        <w:t>){(E[Y</w:t>
      </w:r>
      <w:r w:rsidRPr="00CC2489">
        <w:rPr>
          <w:i/>
          <w:vertAlign w:val="superscript"/>
          <w:lang w:val="de-DE"/>
        </w:rPr>
        <w:t>t</w:t>
      </w:r>
      <w:r w:rsidRPr="00AE0C05">
        <w:rPr>
          <w:lang w:val="de-DE"/>
        </w:rPr>
        <w:t>|X</w:t>
      </w:r>
      <w:r w:rsidRPr="00CC2489">
        <w:rPr>
          <w:i/>
          <w:lang w:val="de-DE"/>
        </w:rPr>
        <w:t>=t</w:t>
      </w:r>
      <w:r w:rsidRPr="00AE0C05">
        <w:rPr>
          <w:lang w:val="de-DE"/>
        </w:rPr>
        <w:t>]</w:t>
      </w:r>
      <w:r>
        <w:rPr>
          <w:lang w:val="de-DE"/>
        </w:rPr>
        <w:t>−</w:t>
      </w:r>
      <w:r w:rsidRPr="00AE0C05">
        <w:rPr>
          <w:lang w:val="de-DE"/>
        </w:rPr>
        <w:t>E[Y</w:t>
      </w:r>
      <w:r w:rsidRPr="00CC2489">
        <w:rPr>
          <w:i/>
          <w:vertAlign w:val="superscript"/>
          <w:lang w:val="de-DE"/>
        </w:rPr>
        <w:t>c</w:t>
      </w:r>
      <w:r>
        <w:rPr>
          <w:lang w:val="de-DE"/>
        </w:rPr>
        <w:t>|X</w:t>
      </w:r>
      <w:r w:rsidRPr="00CC2489">
        <w:rPr>
          <w:i/>
          <w:lang w:val="de-DE"/>
        </w:rPr>
        <w:t>=t</w:t>
      </w:r>
      <w:r w:rsidRPr="00AE0C05">
        <w:rPr>
          <w:lang w:val="de-DE"/>
        </w:rPr>
        <w:t xml:space="preserve">]) </w:t>
      </w:r>
      <w:r>
        <w:rPr>
          <w:lang w:val="de-DE"/>
        </w:rPr>
        <w:t>–</w:t>
      </w:r>
      <w:r w:rsidRPr="00AE0C05">
        <w:rPr>
          <w:lang w:val="de-DE"/>
        </w:rPr>
        <w:t xml:space="preserve"> </w:t>
      </w:r>
      <w:r>
        <w:rPr>
          <w:lang w:val="de-DE"/>
        </w:rPr>
        <w:t>(</w:t>
      </w:r>
      <w:r w:rsidRPr="00AE0C05">
        <w:rPr>
          <w:lang w:val="de-DE"/>
        </w:rPr>
        <w:t>E[Y</w:t>
      </w:r>
      <w:r w:rsidRPr="00CC2489">
        <w:rPr>
          <w:i/>
          <w:vertAlign w:val="superscript"/>
          <w:lang w:val="de-DE"/>
        </w:rPr>
        <w:t>t</w:t>
      </w:r>
      <w:r>
        <w:rPr>
          <w:lang w:val="de-DE"/>
        </w:rPr>
        <w:t>|X</w:t>
      </w:r>
      <w:r w:rsidRPr="00CC2489">
        <w:rPr>
          <w:i/>
          <w:lang w:val="de-DE"/>
        </w:rPr>
        <w:t>=c</w:t>
      </w:r>
      <w:r w:rsidRPr="00AE0C05">
        <w:rPr>
          <w:lang w:val="de-DE"/>
        </w:rPr>
        <w:t>]</w:t>
      </w:r>
      <w:r>
        <w:rPr>
          <w:lang w:val="de-DE"/>
        </w:rPr>
        <w:t>−</w:t>
      </w:r>
      <w:r w:rsidRPr="00AE0C05">
        <w:rPr>
          <w:lang w:val="de-DE"/>
        </w:rPr>
        <w:t>E[Y</w:t>
      </w:r>
      <w:r w:rsidRPr="00CC2489">
        <w:rPr>
          <w:i/>
          <w:vertAlign w:val="superscript"/>
          <w:lang w:val="de-DE"/>
        </w:rPr>
        <w:t>c</w:t>
      </w:r>
      <w:r w:rsidRPr="00AE0C05">
        <w:rPr>
          <w:lang w:val="de-DE"/>
        </w:rPr>
        <w:t>|X</w:t>
      </w:r>
      <w:r w:rsidRPr="00CC2489">
        <w:rPr>
          <w:i/>
          <w:lang w:val="de-DE"/>
        </w:rPr>
        <w:t>=c</w:t>
      </w:r>
      <w:r w:rsidRPr="00AE0C05">
        <w:rPr>
          <w:lang w:val="de-DE"/>
        </w:rPr>
        <w:t>]</w:t>
      </w:r>
      <w:r>
        <w:rPr>
          <w:lang w:val="de-DE"/>
        </w:rPr>
        <w:t>)</w:t>
      </w:r>
      <w:r w:rsidRPr="00AE0C05">
        <w:rPr>
          <w:lang w:val="de-DE"/>
        </w:rPr>
        <w:t xml:space="preserve">} .       </w:t>
      </w:r>
      <w:r w:rsidR="00C653A9">
        <w:t>(11</w:t>
      </w:r>
      <w:r w:rsidRPr="00565018">
        <w:t>)</w:t>
      </w:r>
    </w:p>
    <w:p w:rsidR="00AA784C" w:rsidRDefault="00AA784C" w:rsidP="00AA784C">
      <w:pPr>
        <w:widowControl w:val="0"/>
        <w:spacing w:line="480" w:lineRule="auto"/>
      </w:pPr>
      <w:r w:rsidRPr="00AE0C05">
        <w:rPr>
          <w:color w:val="000000"/>
        </w:rPr>
        <w:t>Th</w:t>
      </w:r>
      <w:r>
        <w:rPr>
          <w:color w:val="000000"/>
        </w:rPr>
        <w:t xml:space="preserve">us bias is a function of expected differences at baseline, or in the absence of a treatment </w:t>
      </w:r>
      <w:r w:rsidRPr="00AE0C05">
        <w:t>E[</w:t>
      </w:r>
      <w:proofErr w:type="spellStart"/>
      <w:r w:rsidRPr="00AE0C05">
        <w:t>Y</w:t>
      </w:r>
      <w:r w:rsidRPr="00CC2489">
        <w:rPr>
          <w:i/>
          <w:vertAlign w:val="superscript"/>
        </w:rPr>
        <w:t>c</w:t>
      </w:r>
      <w:r w:rsidRPr="00AE0C05">
        <w:t>|X</w:t>
      </w:r>
      <w:proofErr w:type="spellEnd"/>
      <w:r w:rsidRPr="00CC2489">
        <w:rPr>
          <w:i/>
        </w:rPr>
        <w:t>=t</w:t>
      </w:r>
      <w:r w:rsidRPr="00AE0C05">
        <w:t>]</w:t>
      </w:r>
      <w:r>
        <w:t>−</w:t>
      </w:r>
      <w:r w:rsidRPr="00AE0C05">
        <w:t>E[</w:t>
      </w:r>
      <w:proofErr w:type="spellStart"/>
      <w:r w:rsidRPr="00AE0C05">
        <w:t>Y</w:t>
      </w:r>
      <w:r w:rsidRPr="00CC2489">
        <w:rPr>
          <w:i/>
          <w:vertAlign w:val="superscript"/>
        </w:rPr>
        <w:t>c</w:t>
      </w:r>
      <w:r w:rsidRPr="00AE0C05">
        <w:t>|X</w:t>
      </w:r>
      <w:proofErr w:type="spellEnd"/>
      <w:r w:rsidRPr="00CC2489">
        <w:rPr>
          <w:i/>
        </w:rPr>
        <w:t>=c</w:t>
      </w:r>
      <w:r w:rsidRPr="00AE0C05">
        <w:t>]</w:t>
      </w:r>
      <w:r>
        <w:t xml:space="preserve">), and </w:t>
      </w:r>
      <w:r w:rsidRPr="00AE0C05">
        <w:t xml:space="preserve">differential treatment </w:t>
      </w:r>
      <w:r>
        <w:t xml:space="preserve">effects </w:t>
      </w:r>
      <w:r w:rsidRPr="00AE0C05">
        <w:t xml:space="preserve">for the treated </w:t>
      </w:r>
      <w:r>
        <w:t xml:space="preserve">and control </w:t>
      </w:r>
      <w:r w:rsidRPr="00AE0C05">
        <w:t>(E[</w:t>
      </w:r>
      <w:proofErr w:type="spellStart"/>
      <w:r w:rsidRPr="00AE0C05">
        <w:t>Y</w:t>
      </w:r>
      <w:r w:rsidRPr="00CC2489">
        <w:rPr>
          <w:i/>
          <w:vertAlign w:val="superscript"/>
        </w:rPr>
        <w:t>t</w:t>
      </w:r>
      <w:r w:rsidRPr="00AE0C05">
        <w:t>|X</w:t>
      </w:r>
      <w:proofErr w:type="spellEnd"/>
      <w:r w:rsidRPr="00CC2489">
        <w:rPr>
          <w:i/>
        </w:rPr>
        <w:t>=t</w:t>
      </w:r>
      <w:r w:rsidRPr="00AE0C05">
        <w:t>]</w:t>
      </w:r>
      <w:r>
        <w:t>−</w:t>
      </w:r>
      <w:r w:rsidRPr="00AE0C05">
        <w:t>E[</w:t>
      </w:r>
      <w:proofErr w:type="spellStart"/>
      <w:r w:rsidRPr="00AE0C05">
        <w:t>Y</w:t>
      </w:r>
      <w:r w:rsidRPr="00CC2489">
        <w:rPr>
          <w:i/>
          <w:vertAlign w:val="superscript"/>
        </w:rPr>
        <w:t>c</w:t>
      </w:r>
      <w:r w:rsidRPr="00AE0C05">
        <w:t>|X</w:t>
      </w:r>
      <w:proofErr w:type="spellEnd"/>
      <w:r w:rsidRPr="00CC2489">
        <w:rPr>
          <w:i/>
        </w:rPr>
        <w:t>=t</w:t>
      </w:r>
      <w:r w:rsidRPr="00AE0C05">
        <w:t>])</w:t>
      </w:r>
      <w:r>
        <w:t>−</w:t>
      </w:r>
      <w:r w:rsidRPr="00AE0C05">
        <w:t xml:space="preserve"> (E[</w:t>
      </w:r>
      <w:proofErr w:type="spellStart"/>
      <w:r w:rsidRPr="00AE0C05">
        <w:t>Y</w:t>
      </w:r>
      <w:r w:rsidRPr="00CC2489">
        <w:rPr>
          <w:i/>
          <w:vertAlign w:val="superscript"/>
        </w:rPr>
        <w:t>t</w:t>
      </w:r>
      <w:r w:rsidRPr="00AE0C05">
        <w:t>|X</w:t>
      </w:r>
      <w:proofErr w:type="spellEnd"/>
      <w:r w:rsidRPr="00CC2489">
        <w:rPr>
          <w:i/>
        </w:rPr>
        <w:t>=c</w:t>
      </w:r>
      <w:r w:rsidRPr="00AE0C05">
        <w:t>]</w:t>
      </w:r>
      <w:r>
        <w:t>−</w:t>
      </w:r>
      <w:r w:rsidRPr="00AE0C05">
        <w:t>E[</w:t>
      </w:r>
      <w:proofErr w:type="spellStart"/>
      <w:r w:rsidRPr="00AE0C05">
        <w:t>Y</w:t>
      </w:r>
      <w:r w:rsidRPr="00CC2489">
        <w:rPr>
          <w:i/>
          <w:vertAlign w:val="superscript"/>
        </w:rPr>
        <w:t>c</w:t>
      </w:r>
      <w:r w:rsidRPr="00AE0C05">
        <w:t>|X</w:t>
      </w:r>
      <w:proofErr w:type="spellEnd"/>
      <w:r w:rsidRPr="00CC2489">
        <w:rPr>
          <w:i/>
        </w:rPr>
        <w:t>=c</w:t>
      </w:r>
      <w:r w:rsidRPr="00AE0C05">
        <w:t>])=</w:t>
      </w:r>
      <w:proofErr w:type="spellStart"/>
      <w:r w:rsidRPr="002B183C">
        <w:t>δ</w:t>
      </w:r>
      <w:r w:rsidRPr="00CC2489">
        <w:rPr>
          <w:i/>
          <w:vertAlign w:val="superscript"/>
        </w:rPr>
        <w:t>t</w:t>
      </w:r>
      <w:proofErr w:type="spellEnd"/>
      <w:r>
        <w:rPr>
          <w:vertAlign w:val="superscript"/>
        </w:rPr>
        <w:t xml:space="preserve"> </w:t>
      </w:r>
      <w:r>
        <w:t>−</w:t>
      </w:r>
      <w:r w:rsidRPr="00AE0C05">
        <w:t xml:space="preserve"> </w:t>
      </w:r>
      <w:proofErr w:type="spellStart"/>
      <w:r>
        <w:t>δ</w:t>
      </w:r>
      <w:r w:rsidRPr="00CC2489">
        <w:rPr>
          <w:i/>
          <w:vertAlign w:val="superscript"/>
        </w:rPr>
        <w:t>c</w:t>
      </w:r>
      <w:proofErr w:type="spellEnd"/>
      <w:r w:rsidRPr="00AE0C05">
        <w:t xml:space="preserve">. </w:t>
      </w:r>
    </w:p>
    <w:p w:rsidR="00AA784C" w:rsidRDefault="00AA784C" w:rsidP="00AA784C">
      <w:pPr>
        <w:widowControl w:val="0"/>
        <w:spacing w:line="480" w:lineRule="auto"/>
        <w:ind w:firstLine="720"/>
        <w:rPr>
          <w:color w:val="000000"/>
        </w:rPr>
      </w:pPr>
      <w:r>
        <w:rPr>
          <w:color w:val="000000"/>
        </w:rPr>
        <w:t xml:space="preserve">Assuming </w:t>
      </w:r>
      <w:proofErr w:type="spellStart"/>
      <w:proofErr w:type="gramStart"/>
      <w:r>
        <w:t>δ</w:t>
      </w:r>
      <w:r w:rsidRPr="00CC2489">
        <w:rPr>
          <w:i/>
          <w:vertAlign w:val="superscript"/>
        </w:rPr>
        <w:t>t</w:t>
      </w:r>
      <w:proofErr w:type="spellEnd"/>
      <w:proofErr w:type="gramEnd"/>
      <w:r>
        <w:rPr>
          <w:vertAlign w:val="superscript"/>
        </w:rPr>
        <w:t xml:space="preserve"> </w:t>
      </w:r>
      <w:r>
        <w:t>−</w:t>
      </w:r>
      <w:r w:rsidRPr="00AE0C05">
        <w:t xml:space="preserve"> </w:t>
      </w:r>
      <w:proofErr w:type="spellStart"/>
      <w:r>
        <w:t>δ</w:t>
      </w:r>
      <w:r w:rsidRPr="00CC2489">
        <w:rPr>
          <w:i/>
          <w:vertAlign w:val="superscript"/>
        </w:rPr>
        <w:t>c</w:t>
      </w:r>
      <w:proofErr w:type="spellEnd"/>
      <w:r>
        <w:t xml:space="preserve">=0 as in the limiting </w:t>
      </w:r>
      <w:r>
        <w:rPr>
          <w:color w:val="000000"/>
        </w:rPr>
        <w:t>case when there is no treatment effect (</w:t>
      </w:r>
      <w:proofErr w:type="spellStart"/>
      <w:r>
        <w:t>δ</w:t>
      </w:r>
      <w:r w:rsidRPr="00CC2489">
        <w:rPr>
          <w:i/>
          <w:vertAlign w:val="superscript"/>
        </w:rPr>
        <w:t>t</w:t>
      </w:r>
      <w:proofErr w:type="spellEnd"/>
      <w:r>
        <w:rPr>
          <w:vertAlign w:val="superscript"/>
        </w:rPr>
        <w:t xml:space="preserve"> </w:t>
      </w:r>
      <w:r>
        <w:t>=</w:t>
      </w:r>
      <w:proofErr w:type="spellStart"/>
      <w:r>
        <w:t>δ</w:t>
      </w:r>
      <w:r w:rsidRPr="00CC2489">
        <w:rPr>
          <w:i/>
          <w:vertAlign w:val="superscript"/>
        </w:rPr>
        <w:t>c</w:t>
      </w:r>
      <w:proofErr w:type="spellEnd"/>
      <w:r>
        <w:t xml:space="preserve">=0) and </w:t>
      </w:r>
      <w:r>
        <w:rPr>
          <w:color w:val="000000"/>
        </w:rPr>
        <w:t xml:space="preserve">setting </w:t>
      </w:r>
      <w:r>
        <w:t>β</w:t>
      </w:r>
      <w:r>
        <w:rPr>
          <w:vertAlign w:val="superscript"/>
        </w:rPr>
        <w:t xml:space="preserve">a </w:t>
      </w:r>
      <w:r>
        <w:rPr>
          <w:color w:val="000000"/>
        </w:rPr>
        <w:t>&gt;</w:t>
      </w:r>
      <w:r w:rsidRPr="008A0275">
        <w:rPr>
          <w:position w:val="-6"/>
          <w:sz w:val="20"/>
          <w:lang w:val="de-DE"/>
        </w:rPr>
        <w:object w:dxaOrig="180" w:dyaOrig="340">
          <v:shape id="_x0000_i1057" type="#_x0000_t75" style="width:9pt;height:17.25pt" o:ole="" fillcolor="window">
            <v:imagedata r:id="rId48" o:title=""/>
          </v:shape>
          <o:OLEObject Type="Embed" ProgID="Equation.DSMT4" ShapeID="_x0000_i1057" DrawAspect="Content" ObjectID="_1478976174" r:id="rId53"/>
        </w:object>
      </w:r>
      <w:r>
        <w:rPr>
          <w:color w:val="000000"/>
        </w:rPr>
        <w:t>−δ</w:t>
      </w:r>
      <w:r w:rsidRPr="005A076A">
        <w:rPr>
          <w:color w:val="000000"/>
          <w:vertAlign w:val="superscript"/>
        </w:rPr>
        <w:t>#</w:t>
      </w:r>
      <w:r>
        <w:rPr>
          <w:color w:val="000000"/>
          <w:vertAlign w:val="superscript"/>
        </w:rPr>
        <w:t xml:space="preserve"> </w:t>
      </w:r>
      <w:r>
        <w:rPr>
          <w:color w:val="000000"/>
        </w:rPr>
        <w:t>implies an inference is invalid if:</w:t>
      </w:r>
    </w:p>
    <w:p w:rsidR="00AA784C" w:rsidRDefault="003A16F9" w:rsidP="00AA784C">
      <w:pPr>
        <w:widowControl w:val="0"/>
        <w:spacing w:line="480" w:lineRule="auto"/>
        <w:ind w:firstLine="720"/>
        <w:rPr>
          <w:color w:val="000000"/>
        </w:rPr>
      </w:pPr>
      <w:proofErr w:type="gramStart"/>
      <w:r>
        <w:t>β</w:t>
      </w:r>
      <w:r w:rsidRPr="00565018">
        <w:rPr>
          <w:vertAlign w:val="superscript"/>
        </w:rPr>
        <w:t>a</w:t>
      </w:r>
      <w:proofErr w:type="gramEnd"/>
      <w:r>
        <w:t xml:space="preserve"> =</w:t>
      </w:r>
      <w:r w:rsidR="00AA784C">
        <w:t>(</w:t>
      </w:r>
      <w:r w:rsidR="00AA784C" w:rsidRPr="00AE0C05">
        <w:t>E[</w:t>
      </w:r>
      <w:proofErr w:type="spellStart"/>
      <w:r w:rsidR="00AA784C" w:rsidRPr="00AE0C05">
        <w:t>Y</w:t>
      </w:r>
      <w:r w:rsidR="00AA784C" w:rsidRPr="00CC2489">
        <w:rPr>
          <w:i/>
          <w:vertAlign w:val="superscript"/>
        </w:rPr>
        <w:t>c</w:t>
      </w:r>
      <w:r w:rsidR="00AA784C" w:rsidRPr="00AE0C05">
        <w:t>|X</w:t>
      </w:r>
      <w:proofErr w:type="spellEnd"/>
      <w:r w:rsidR="00AA784C" w:rsidRPr="00CC2489">
        <w:rPr>
          <w:i/>
        </w:rPr>
        <w:t>=t</w:t>
      </w:r>
      <w:r w:rsidR="00AA784C" w:rsidRPr="00AE0C05">
        <w:t>]</w:t>
      </w:r>
      <w:r w:rsidR="00AA784C">
        <w:t>−</w:t>
      </w:r>
      <w:r w:rsidR="00AA784C" w:rsidRPr="00AE0C05">
        <w:t>E[</w:t>
      </w:r>
      <w:proofErr w:type="spellStart"/>
      <w:r w:rsidR="00AA784C" w:rsidRPr="00AE0C05">
        <w:t>Y</w:t>
      </w:r>
      <w:r w:rsidR="00AA784C" w:rsidRPr="00CC2489">
        <w:rPr>
          <w:i/>
          <w:vertAlign w:val="superscript"/>
        </w:rPr>
        <w:t>c</w:t>
      </w:r>
      <w:r w:rsidR="00AA784C" w:rsidRPr="00AE0C05">
        <w:t>|X</w:t>
      </w:r>
      <w:proofErr w:type="spellEnd"/>
      <w:r w:rsidR="00AA784C" w:rsidRPr="00CC2489">
        <w:rPr>
          <w:i/>
        </w:rPr>
        <w:t>=c</w:t>
      </w:r>
      <w:r w:rsidR="00AA784C" w:rsidRPr="00AE0C05">
        <w:t>]</w:t>
      </w:r>
      <w:r w:rsidR="00AA784C">
        <w:t>)</w:t>
      </w:r>
      <w:r w:rsidR="00AA784C" w:rsidRPr="00AE0C05">
        <w:t xml:space="preserve"> &gt;</w:t>
      </w:r>
      <w:r w:rsidR="00AA784C" w:rsidRPr="00AE0C05">
        <w:rPr>
          <w:position w:val="-6"/>
          <w:sz w:val="20"/>
        </w:rPr>
        <w:t xml:space="preserve"> </w:t>
      </w:r>
      <w:r w:rsidR="00AA784C" w:rsidRPr="008A0275">
        <w:rPr>
          <w:position w:val="-6"/>
          <w:sz w:val="20"/>
          <w:lang w:val="de-DE"/>
        </w:rPr>
        <w:object w:dxaOrig="180" w:dyaOrig="340">
          <v:shape id="_x0000_i1058" type="#_x0000_t75" style="width:9pt;height:17.25pt" o:ole="" fillcolor="window">
            <v:imagedata r:id="rId48" o:title=""/>
          </v:shape>
          <o:OLEObject Type="Embed" ProgID="Equation.DSMT4" ShapeID="_x0000_i1058" DrawAspect="Content" ObjectID="_1478976175" r:id="rId54"/>
        </w:object>
      </w:r>
      <w:r w:rsidR="00AA784C">
        <w:rPr>
          <w:color w:val="000000"/>
        </w:rPr>
        <w:t>−δ</w:t>
      </w:r>
      <w:r w:rsidR="00AA784C" w:rsidRPr="00AE0C05">
        <w:rPr>
          <w:color w:val="000000"/>
          <w:vertAlign w:val="superscript"/>
        </w:rPr>
        <w:t>#</w:t>
      </w:r>
      <w:r w:rsidR="00AA784C" w:rsidRPr="00AE0C05">
        <w:rPr>
          <w:color w:val="000000"/>
        </w:rPr>
        <w:t xml:space="preserve">.   </w:t>
      </w:r>
      <w:r w:rsidR="00C653A9">
        <w:rPr>
          <w:color w:val="000000"/>
        </w:rPr>
        <w:t>(12</w:t>
      </w:r>
      <w:r w:rsidR="00AA784C">
        <w:rPr>
          <w:color w:val="000000"/>
        </w:rPr>
        <w:t>)</w:t>
      </w:r>
    </w:p>
    <w:p w:rsidR="00AA784C" w:rsidRDefault="00C653A9" w:rsidP="00AA784C">
      <w:pPr>
        <w:widowControl w:val="0"/>
        <w:spacing w:line="480" w:lineRule="auto"/>
      </w:pPr>
      <w:r>
        <w:rPr>
          <w:color w:val="000000"/>
        </w:rPr>
        <w:t>Equation (12</w:t>
      </w:r>
      <w:r w:rsidR="00AA784C">
        <w:rPr>
          <w:color w:val="000000"/>
        </w:rPr>
        <w:t xml:space="preserve">) indicates the bias </w:t>
      </w:r>
      <w:r w:rsidR="00AA784C" w:rsidRPr="00AE0C05">
        <w:t xml:space="preserve">due to </w:t>
      </w:r>
      <w:r w:rsidR="00AA784C">
        <w:rPr>
          <w:color w:val="000000"/>
        </w:rPr>
        <w:t>differences in the absence of treatment</w:t>
      </w:r>
      <w:r w:rsidR="00AA784C" w:rsidRPr="00AE0C05">
        <w:t xml:space="preserve"> </w:t>
      </w:r>
      <w:r w:rsidR="00724B8D">
        <w:t xml:space="preserve">necessary to </w:t>
      </w:r>
      <w:r w:rsidR="00AA784C">
        <w:t xml:space="preserve">invalidate the inference. </w:t>
      </w:r>
    </w:p>
    <w:p w:rsidR="00AA784C" w:rsidRDefault="00C653A9" w:rsidP="00AA784C">
      <w:pPr>
        <w:widowControl w:val="0"/>
        <w:spacing w:line="480" w:lineRule="auto"/>
        <w:ind w:firstLine="720"/>
        <w:rPr>
          <w:color w:val="000000"/>
        </w:rPr>
      </w:pPr>
      <w:r>
        <w:rPr>
          <w:color w:val="000000"/>
        </w:rPr>
        <w:t>To interpret (12</w:t>
      </w:r>
      <w:r w:rsidR="00AA784C">
        <w:rPr>
          <w:color w:val="000000"/>
        </w:rPr>
        <w:t xml:space="preserve">) in terms of sample replacement, note that bias due to the difference in expected values </w:t>
      </w:r>
      <w:r w:rsidR="00AA784C">
        <w:t xml:space="preserve">in the absence of treatment </w:t>
      </w:r>
      <w:r w:rsidR="00AA784C">
        <w:rPr>
          <w:color w:val="000000"/>
        </w:rPr>
        <w:t xml:space="preserve">can be re-expressed in terms of the expected value of the differences </w:t>
      </w:r>
      <w:r w:rsidR="00AA784C">
        <w:t>in the absence of treatment</w:t>
      </w:r>
      <w:r w:rsidR="00AA784C">
        <w:rPr>
          <w:color w:val="000000"/>
        </w:rPr>
        <w:t>:</w:t>
      </w:r>
    </w:p>
    <w:p w:rsidR="00AA784C" w:rsidRDefault="00AA784C" w:rsidP="00AA784C">
      <w:pPr>
        <w:widowControl w:val="0"/>
        <w:spacing w:line="480" w:lineRule="auto"/>
        <w:ind w:firstLine="720"/>
        <w:rPr>
          <w:position w:val="-6"/>
          <w:sz w:val="20"/>
          <w:lang w:val="de-DE"/>
        </w:rPr>
      </w:pPr>
      <w:r>
        <w:t>(</w:t>
      </w:r>
      <w:proofErr w:type="gramStart"/>
      <w:r w:rsidRPr="00AE0C05">
        <w:t>E[</w:t>
      </w:r>
      <w:proofErr w:type="spellStart"/>
      <w:proofErr w:type="gramEnd"/>
      <w:r w:rsidRPr="00AE0C05">
        <w:t>Y</w:t>
      </w:r>
      <w:r w:rsidRPr="00CC2489">
        <w:rPr>
          <w:i/>
          <w:vertAlign w:val="superscript"/>
        </w:rPr>
        <w:t>c</w:t>
      </w:r>
      <w:r w:rsidRPr="00AE0C05">
        <w:t>|X</w:t>
      </w:r>
      <w:proofErr w:type="spellEnd"/>
      <w:r w:rsidRPr="00CC2489">
        <w:rPr>
          <w:i/>
        </w:rPr>
        <w:t>=t</w:t>
      </w:r>
      <w:r w:rsidRPr="00AE0C05">
        <w:t>]</w:t>
      </w:r>
      <w:r>
        <w:t>−</w:t>
      </w:r>
      <w:r w:rsidRPr="00AE0C05">
        <w:t>E[</w:t>
      </w:r>
      <w:proofErr w:type="spellStart"/>
      <w:r w:rsidRPr="00AE0C05">
        <w:t>Y</w:t>
      </w:r>
      <w:r w:rsidRPr="00CC2489">
        <w:rPr>
          <w:i/>
          <w:vertAlign w:val="superscript"/>
        </w:rPr>
        <w:t>c</w:t>
      </w:r>
      <w:r w:rsidRPr="00AE0C05">
        <w:t>|X</w:t>
      </w:r>
      <w:proofErr w:type="spellEnd"/>
      <w:r w:rsidRPr="00CC2489">
        <w:rPr>
          <w:i/>
        </w:rPr>
        <w:t>=c</w:t>
      </w:r>
      <w:r w:rsidRPr="00AE0C05">
        <w:t>]</w:t>
      </w:r>
      <w:r>
        <w:t xml:space="preserve">) &gt; </w:t>
      </w:r>
      <w:r w:rsidRPr="008A0275">
        <w:rPr>
          <w:position w:val="-6"/>
          <w:sz w:val="20"/>
          <w:lang w:val="de-DE"/>
        </w:rPr>
        <w:object w:dxaOrig="180" w:dyaOrig="340">
          <v:shape id="_x0000_i1059" type="#_x0000_t75" style="width:9pt;height:17.25pt" o:ole="" fillcolor="window">
            <v:imagedata r:id="rId48" o:title=""/>
          </v:shape>
          <o:OLEObject Type="Embed" ProgID="Equation.DSMT4" ShapeID="_x0000_i1059" DrawAspect="Content" ObjectID="_1478976176" r:id="rId55"/>
        </w:object>
      </w:r>
      <w:r>
        <w:rPr>
          <w:color w:val="000000"/>
        </w:rPr>
        <w:t>−δ</w:t>
      </w:r>
      <w:r w:rsidRPr="00AE0C05">
        <w:rPr>
          <w:color w:val="000000"/>
          <w:vertAlign w:val="superscript"/>
        </w:rPr>
        <w:t xml:space="preserve"># </w:t>
      </w:r>
    </w:p>
    <w:p w:rsidR="00AA784C" w:rsidRDefault="00AA784C" w:rsidP="00AA784C">
      <w:pPr>
        <w:widowControl w:val="0"/>
        <w:spacing w:line="480" w:lineRule="auto"/>
        <w:ind w:firstLine="720"/>
      </w:pPr>
      <w:r>
        <w:rPr>
          <w:position w:val="-6"/>
          <w:sz w:val="20"/>
          <w:lang w:val="de-DE"/>
        </w:rPr>
        <w:t xml:space="preserve"> </w:t>
      </w:r>
      <w:r w:rsidRPr="008A0275">
        <w:rPr>
          <w:position w:val="-6"/>
          <w:sz w:val="20"/>
          <w:lang w:val="de-DE"/>
        </w:rPr>
        <w:object w:dxaOrig="300" w:dyaOrig="240">
          <v:shape id="_x0000_i1060" type="#_x0000_t75" style="width:15pt;height:12pt" o:ole="" fillcolor="window">
            <v:imagedata r:id="rId56" o:title=""/>
          </v:shape>
          <o:OLEObject Type="Embed" ProgID="Equation.DSMT4" ShapeID="_x0000_i1060" DrawAspect="Content" ObjectID="_1478976177" r:id="rId57"/>
        </w:object>
      </w:r>
      <w:r w:rsidRPr="008575B8">
        <w:t xml:space="preserve"> </w:t>
      </w:r>
      <w:proofErr w:type="gramStart"/>
      <w:r w:rsidRPr="00AE0C05">
        <w:t>E[</w:t>
      </w:r>
      <w:proofErr w:type="gramEnd"/>
      <w:r>
        <w:t>(</w:t>
      </w:r>
      <w:proofErr w:type="spellStart"/>
      <w:r w:rsidRPr="00AE0C05">
        <w:t>Y</w:t>
      </w:r>
      <w:r w:rsidRPr="00CC2489">
        <w:rPr>
          <w:i/>
          <w:vertAlign w:val="superscript"/>
        </w:rPr>
        <w:t>c</w:t>
      </w:r>
      <w:r w:rsidRPr="00AE0C05">
        <w:t>|X</w:t>
      </w:r>
      <w:proofErr w:type="spellEnd"/>
      <w:r w:rsidRPr="00CC2489">
        <w:rPr>
          <w:i/>
        </w:rPr>
        <w:t>=t</w:t>
      </w:r>
      <w:r>
        <w:t>)−(</w:t>
      </w:r>
      <w:proofErr w:type="spellStart"/>
      <w:r w:rsidRPr="00AE0C05">
        <w:t>Y</w:t>
      </w:r>
      <w:r w:rsidRPr="00CC2489">
        <w:rPr>
          <w:i/>
          <w:vertAlign w:val="superscript"/>
        </w:rPr>
        <w:t>c</w:t>
      </w:r>
      <w:r w:rsidRPr="00AE0C05">
        <w:t>|X</w:t>
      </w:r>
      <w:proofErr w:type="spellEnd"/>
      <w:r w:rsidRPr="00CC2489">
        <w:rPr>
          <w:i/>
        </w:rPr>
        <w:t>=c</w:t>
      </w:r>
      <w:r w:rsidRPr="008575B8">
        <w:t>)</w:t>
      </w:r>
      <w:r w:rsidRPr="00AE0C05">
        <w:t>]</w:t>
      </w:r>
      <w:r>
        <w:t xml:space="preserve"> &gt; </w:t>
      </w:r>
      <w:r w:rsidRPr="008A0275">
        <w:rPr>
          <w:position w:val="-6"/>
          <w:sz w:val="20"/>
          <w:lang w:val="de-DE"/>
        </w:rPr>
        <w:object w:dxaOrig="180" w:dyaOrig="340">
          <v:shape id="_x0000_i1061" type="#_x0000_t75" style="width:9pt;height:17.25pt" o:ole="" fillcolor="window">
            <v:imagedata r:id="rId48" o:title=""/>
          </v:shape>
          <o:OLEObject Type="Embed" ProgID="Equation.DSMT4" ShapeID="_x0000_i1061" DrawAspect="Content" ObjectID="_1478976178" r:id="rId58"/>
        </w:object>
      </w:r>
      <w:r>
        <w:rPr>
          <w:color w:val="000000"/>
        </w:rPr>
        <w:t>−δ</w:t>
      </w:r>
      <w:r w:rsidRPr="00AE0C05">
        <w:rPr>
          <w:color w:val="000000"/>
          <w:vertAlign w:val="superscript"/>
        </w:rPr>
        <w:t>#</w:t>
      </w:r>
      <w:r w:rsidR="00C653A9">
        <w:t xml:space="preserve">  .  (13</w:t>
      </w:r>
      <w:r>
        <w:t>)</w:t>
      </w:r>
    </w:p>
    <w:p w:rsidR="00AA784C" w:rsidRDefault="00AA784C" w:rsidP="00AA784C">
      <w:pPr>
        <w:widowControl w:val="0"/>
        <w:spacing w:line="480" w:lineRule="auto"/>
      </w:pPr>
      <w:r>
        <w:t>Now separate the sample into the proportion in which there is no bias</w:t>
      </w:r>
      <w:r w:rsidR="00B631DE">
        <w:t xml:space="preserve"> (α)</w:t>
      </w:r>
      <w:r w:rsidR="00724B8D">
        <w:t xml:space="preserve">, </w:t>
      </w:r>
      <w:r>
        <w:t>and the proportion in which there is</w:t>
      </w:r>
      <w:r w:rsidR="003A16F9">
        <w:t xml:space="preserve"> bias</w:t>
      </w:r>
      <w:r w:rsidR="00B631DE">
        <w:t xml:space="preserve"> (1−α)</w:t>
      </w:r>
      <w:r w:rsidR="00724B8D">
        <w:t>:</w:t>
      </w:r>
    </w:p>
    <w:p w:rsidR="00AA784C" w:rsidRDefault="00AA784C" w:rsidP="00AA784C">
      <w:pPr>
        <w:widowControl w:val="0"/>
        <w:spacing w:line="480" w:lineRule="auto"/>
        <w:ind w:firstLine="720"/>
      </w:pPr>
      <w:r>
        <w:t>(α)(</w:t>
      </w:r>
      <w:r w:rsidRPr="00AE0C05">
        <w:t>E[</w:t>
      </w:r>
      <w:r>
        <w:t>(</w:t>
      </w:r>
      <w:proofErr w:type="spellStart"/>
      <w:r w:rsidRPr="00AE0C05">
        <w:t>Y</w:t>
      </w:r>
      <w:r w:rsidRPr="00CC2489">
        <w:rPr>
          <w:i/>
          <w:vertAlign w:val="superscript"/>
        </w:rPr>
        <w:t>c</w:t>
      </w:r>
      <w:r w:rsidRPr="00AE0C05">
        <w:t>|X</w:t>
      </w:r>
      <w:proofErr w:type="spellEnd"/>
      <w:r w:rsidRPr="00CC2489">
        <w:rPr>
          <w:i/>
        </w:rPr>
        <w:t>=t</w:t>
      </w:r>
      <w:r>
        <w:t>)−(</w:t>
      </w:r>
      <w:proofErr w:type="spellStart"/>
      <w:r w:rsidRPr="00AE0C05">
        <w:t>Y</w:t>
      </w:r>
      <w:r w:rsidRPr="00CC2489">
        <w:rPr>
          <w:i/>
          <w:vertAlign w:val="superscript"/>
        </w:rPr>
        <w:t>c</w:t>
      </w:r>
      <w:r w:rsidRPr="00AE0C05">
        <w:t>|X</w:t>
      </w:r>
      <w:proofErr w:type="spellEnd"/>
      <w:r w:rsidRPr="00CC2489">
        <w:rPr>
          <w:i/>
        </w:rPr>
        <w:t>=c</w:t>
      </w:r>
      <w:r w:rsidRPr="008575B8">
        <w:t>)</w:t>
      </w:r>
      <w:r>
        <w:t>] + (1-α)</w:t>
      </w:r>
      <w:r w:rsidRPr="00AE0C05">
        <w:t>E[</w:t>
      </w:r>
      <w:r>
        <w:t>(</w:t>
      </w:r>
      <w:proofErr w:type="spellStart"/>
      <w:r w:rsidRPr="00AE0C05">
        <w:t>Y</w:t>
      </w:r>
      <w:r w:rsidRPr="00CC2489">
        <w:rPr>
          <w:i/>
          <w:vertAlign w:val="superscript"/>
        </w:rPr>
        <w:t>c</w:t>
      </w:r>
      <w:r w:rsidRPr="00AE0C05">
        <w:t>|X</w:t>
      </w:r>
      <w:proofErr w:type="spellEnd"/>
      <w:r w:rsidRPr="00CC2489">
        <w:rPr>
          <w:i/>
        </w:rPr>
        <w:t>=t</w:t>
      </w:r>
      <w:r>
        <w:t>)−(</w:t>
      </w:r>
      <w:proofErr w:type="spellStart"/>
      <w:r w:rsidRPr="00AE0C05">
        <w:t>Y</w:t>
      </w:r>
      <w:r w:rsidRPr="00CC2489">
        <w:rPr>
          <w:i/>
          <w:vertAlign w:val="superscript"/>
        </w:rPr>
        <w:t>c</w:t>
      </w:r>
      <w:r w:rsidRPr="00AE0C05">
        <w:t>|X</w:t>
      </w:r>
      <w:proofErr w:type="spellEnd"/>
      <w:r w:rsidRPr="00CC2489">
        <w:rPr>
          <w:i/>
        </w:rPr>
        <w:t>=c</w:t>
      </w:r>
      <w:r w:rsidRPr="008575B8">
        <w:t>)</w:t>
      </w:r>
      <w:r>
        <w:t>]</w:t>
      </w:r>
      <w:r w:rsidRPr="0012260A">
        <w:t xml:space="preserve"> </w:t>
      </w:r>
      <w:r>
        <w:t xml:space="preserve"> &gt; </w:t>
      </w:r>
      <w:r w:rsidRPr="008A0275">
        <w:rPr>
          <w:position w:val="-6"/>
          <w:sz w:val="20"/>
          <w:lang w:val="de-DE"/>
        </w:rPr>
        <w:object w:dxaOrig="180" w:dyaOrig="340">
          <v:shape id="_x0000_i1062" type="#_x0000_t75" style="width:9pt;height:17.25pt" o:ole="" fillcolor="window">
            <v:imagedata r:id="rId48" o:title=""/>
          </v:shape>
          <o:OLEObject Type="Embed" ProgID="Equation.DSMT4" ShapeID="_x0000_i1062" DrawAspect="Content" ObjectID="_1478976179" r:id="rId59"/>
        </w:object>
      </w:r>
      <w:r>
        <w:rPr>
          <w:color w:val="000000"/>
        </w:rPr>
        <w:t>−δ</w:t>
      </w:r>
      <w:r w:rsidRPr="00AE0C05">
        <w:rPr>
          <w:color w:val="000000"/>
          <w:vertAlign w:val="superscript"/>
        </w:rPr>
        <w:t>#</w:t>
      </w:r>
      <w:r w:rsidR="00C653A9">
        <w:t xml:space="preserve"> .  (14</w:t>
      </w:r>
      <w:r>
        <w:t>)</w:t>
      </w:r>
    </w:p>
    <w:p w:rsidR="00AA784C" w:rsidRDefault="00AA784C" w:rsidP="00AA784C">
      <w:pPr>
        <w:widowControl w:val="0"/>
        <w:spacing w:line="480" w:lineRule="auto"/>
      </w:pPr>
      <w:r>
        <w:t xml:space="preserve">Setting </w:t>
      </w:r>
      <w:r w:rsidRPr="00AE0C05">
        <w:t>E[</w:t>
      </w:r>
      <w:r>
        <w:t>(</w:t>
      </w:r>
      <w:proofErr w:type="spellStart"/>
      <w:r w:rsidRPr="00AE0C05">
        <w:t>Y</w:t>
      </w:r>
      <w:r w:rsidRPr="00CC2489">
        <w:rPr>
          <w:i/>
          <w:vertAlign w:val="superscript"/>
        </w:rPr>
        <w:t>c</w:t>
      </w:r>
      <w:r w:rsidRPr="00AE0C05">
        <w:t>|X</w:t>
      </w:r>
      <w:proofErr w:type="spellEnd"/>
      <w:r w:rsidRPr="00CC2489">
        <w:rPr>
          <w:i/>
        </w:rPr>
        <w:t>=t</w:t>
      </w:r>
      <w:r>
        <w:t>)−(</w:t>
      </w:r>
      <w:proofErr w:type="spellStart"/>
      <w:r w:rsidRPr="00AE0C05">
        <w:t>Y</w:t>
      </w:r>
      <w:r w:rsidRPr="00CC2489">
        <w:rPr>
          <w:i/>
          <w:vertAlign w:val="superscript"/>
        </w:rPr>
        <w:t>c</w:t>
      </w:r>
      <w:r w:rsidRPr="00AE0C05">
        <w:t>|X</w:t>
      </w:r>
      <w:proofErr w:type="spellEnd"/>
      <w:r w:rsidRPr="00CC2489">
        <w:rPr>
          <w:i/>
        </w:rPr>
        <w:t>=c</w:t>
      </w:r>
      <w:r w:rsidRPr="008575B8">
        <w:t>)</w:t>
      </w:r>
      <w:r>
        <w:t xml:space="preserve">=0 for those cases in which there is no bias </w:t>
      </w:r>
      <w:r w:rsidR="00F93B20">
        <w:t xml:space="preserve">because the expected value of the counterfactuals equals the expected value of the </w:t>
      </w:r>
      <w:r w:rsidR="00B631DE">
        <w:t xml:space="preserve">observed </w:t>
      </w:r>
      <w:r w:rsidR="00F93B20">
        <w:t xml:space="preserve">controls, </w:t>
      </w:r>
      <w:r>
        <w:t xml:space="preserve">and </w:t>
      </w:r>
      <w:r w:rsidRPr="00AE0C05">
        <w:t>E[</w:t>
      </w:r>
      <w:r>
        <w:t>(</w:t>
      </w:r>
      <w:proofErr w:type="spellStart"/>
      <w:r w:rsidRPr="00AE0C05">
        <w:t>Y</w:t>
      </w:r>
      <w:r w:rsidRPr="00CC2489">
        <w:rPr>
          <w:i/>
          <w:vertAlign w:val="superscript"/>
        </w:rPr>
        <w:t>c</w:t>
      </w:r>
      <w:r w:rsidRPr="00AE0C05">
        <w:t>|X</w:t>
      </w:r>
      <w:proofErr w:type="spellEnd"/>
      <w:r w:rsidRPr="00CC2489">
        <w:rPr>
          <w:i/>
        </w:rPr>
        <w:t>=t</w:t>
      </w:r>
      <w:r>
        <w:t>)−(</w:t>
      </w:r>
      <w:proofErr w:type="spellStart"/>
      <w:r w:rsidRPr="00AE0C05">
        <w:t>Y</w:t>
      </w:r>
      <w:r w:rsidRPr="00CC2489">
        <w:rPr>
          <w:i/>
          <w:vertAlign w:val="superscript"/>
        </w:rPr>
        <w:t>c</w:t>
      </w:r>
      <w:r w:rsidRPr="00AE0C05">
        <w:t>|X</w:t>
      </w:r>
      <w:proofErr w:type="spellEnd"/>
      <w:r w:rsidRPr="00CC2489">
        <w:rPr>
          <w:i/>
        </w:rPr>
        <w:t>=c</w:t>
      </w:r>
      <w:r w:rsidRPr="008575B8">
        <w:t>)</w:t>
      </w:r>
      <w:r>
        <w:t>=</w:t>
      </w:r>
      <w:r w:rsidRPr="008A0275">
        <w:rPr>
          <w:position w:val="-6"/>
          <w:sz w:val="20"/>
          <w:lang w:val="de-DE"/>
        </w:rPr>
        <w:object w:dxaOrig="180" w:dyaOrig="340">
          <v:shape id="_x0000_i1063" type="#_x0000_t75" style="width:9pt;height:17.25pt" o:ole="" fillcolor="window">
            <v:imagedata r:id="rId48" o:title=""/>
          </v:shape>
          <o:OLEObject Type="Embed" ProgID="Equation.DSMT4" ShapeID="_x0000_i1063" DrawAspect="Content" ObjectID="_1478976180" r:id="rId60"/>
        </w:object>
      </w:r>
      <w:r>
        <w:rPr>
          <w:position w:val="-6"/>
          <w:sz w:val="20"/>
          <w:lang w:val="de-DE"/>
        </w:rPr>
        <w:t xml:space="preserve"> </w:t>
      </w:r>
      <w:r>
        <w:rPr>
          <w:color w:val="000000"/>
        </w:rPr>
        <w:t>−</w:t>
      </w:r>
      <w:r>
        <w:t xml:space="preserve"> </w:t>
      </w:r>
      <w:r>
        <w:rPr>
          <w:color w:val="000000"/>
        </w:rPr>
        <w:t>δ</w:t>
      </w:r>
      <w:r>
        <w:t xml:space="preserve"> = </w:t>
      </w:r>
      <w:r w:rsidRPr="008A0275">
        <w:rPr>
          <w:position w:val="-6"/>
          <w:sz w:val="20"/>
          <w:lang w:val="de-DE"/>
        </w:rPr>
        <w:object w:dxaOrig="180" w:dyaOrig="340">
          <v:shape id="_x0000_i1064" type="#_x0000_t75" style="width:9pt;height:17.25pt" o:ole="" fillcolor="window">
            <v:imagedata r:id="rId48" o:title=""/>
          </v:shape>
          <o:OLEObject Type="Embed" ProgID="Equation.DSMT4" ShapeID="_x0000_i1064" DrawAspect="Content" ObjectID="_1478976181" r:id="rId61"/>
        </w:object>
      </w:r>
      <w:r>
        <w:rPr>
          <w:position w:val="-6"/>
          <w:sz w:val="20"/>
          <w:lang w:val="de-DE"/>
        </w:rPr>
        <w:t xml:space="preserve"> </w:t>
      </w:r>
      <w:r>
        <w:t xml:space="preserve">for those cases in which </w:t>
      </w:r>
      <w:r w:rsidR="00F93B20">
        <w:t xml:space="preserve">the </w:t>
      </w:r>
      <w:r w:rsidR="005B7B60">
        <w:t xml:space="preserve">estimated effect is entirely due to bias </w:t>
      </w:r>
      <w:r w:rsidR="003A16F9">
        <w:t xml:space="preserve">(because </w:t>
      </w:r>
      <w:r w:rsidR="003A16F9">
        <w:rPr>
          <w:color w:val="000000"/>
        </w:rPr>
        <w:t>δ</w:t>
      </w:r>
      <w:r w:rsidR="003A16F9">
        <w:t xml:space="preserve"> =0) </w:t>
      </w:r>
      <w:r>
        <w:t>yields:</w:t>
      </w:r>
    </w:p>
    <w:p w:rsidR="00AA784C" w:rsidRDefault="00AA784C" w:rsidP="00AA784C">
      <w:pPr>
        <w:widowControl w:val="0"/>
        <w:spacing w:line="480" w:lineRule="auto"/>
        <w:ind w:firstLine="720"/>
      </w:pPr>
      <w:r>
        <w:t xml:space="preserve">1-α &gt; </w:t>
      </w:r>
      <w:r>
        <w:rPr>
          <w:color w:val="000000"/>
        </w:rPr>
        <w:t>1−δ</w:t>
      </w:r>
      <w:r w:rsidRPr="00AE0C05">
        <w:rPr>
          <w:color w:val="000000"/>
          <w:vertAlign w:val="superscript"/>
        </w:rPr>
        <w:t xml:space="preserve"># </w:t>
      </w:r>
      <w:r>
        <w:rPr>
          <w:color w:val="000000"/>
        </w:rPr>
        <w:t>/</w:t>
      </w:r>
      <w:r w:rsidRPr="008A0275">
        <w:rPr>
          <w:position w:val="-6"/>
          <w:sz w:val="20"/>
          <w:lang w:val="de-DE"/>
        </w:rPr>
        <w:object w:dxaOrig="180" w:dyaOrig="340">
          <v:shape id="_x0000_i1065" type="#_x0000_t75" style="width:9pt;height:17.25pt" o:ole="" fillcolor="window">
            <v:imagedata r:id="rId48" o:title=""/>
          </v:shape>
          <o:OLEObject Type="Embed" ProgID="Equation.DSMT4" ShapeID="_x0000_i1065" DrawAspect="Content" ObjectID="_1478976182" r:id="rId62"/>
        </w:object>
      </w:r>
      <w:r w:rsidR="00C653A9">
        <w:t>.  (15</w:t>
      </w:r>
      <w:r>
        <w:t>)</w:t>
      </w:r>
    </w:p>
    <w:p w:rsidR="001678C1" w:rsidRDefault="001678C1" w:rsidP="001678C1">
      <w:pPr>
        <w:widowControl w:val="0"/>
        <w:spacing w:line="480" w:lineRule="auto"/>
        <w:rPr>
          <w:color w:val="000000"/>
        </w:rPr>
      </w:pPr>
      <w:r>
        <w:lastRenderedPageBreak/>
        <w:t>From (15), an inference would be invalid if (</w:t>
      </w:r>
      <w:r>
        <w:rPr>
          <w:color w:val="000000"/>
        </w:rPr>
        <w:t>1−δ</w:t>
      </w:r>
      <w:r w:rsidRPr="00AE0C05">
        <w:rPr>
          <w:color w:val="000000"/>
          <w:vertAlign w:val="superscript"/>
        </w:rPr>
        <w:t xml:space="preserve"># </w:t>
      </w:r>
      <w:r>
        <w:rPr>
          <w:color w:val="000000"/>
        </w:rPr>
        <w:t>/</w:t>
      </w:r>
      <w:r w:rsidRPr="008A0275">
        <w:rPr>
          <w:position w:val="-6"/>
          <w:sz w:val="20"/>
          <w:lang w:val="de-DE"/>
        </w:rPr>
        <w:object w:dxaOrig="180" w:dyaOrig="340">
          <v:shape id="_x0000_i1066" type="#_x0000_t75" style="width:9pt;height:17.25pt" o:ole="" fillcolor="window">
            <v:imagedata r:id="rId48" o:title=""/>
          </v:shape>
          <o:OLEObject Type="Embed" ProgID="Equation.DSMT4" ShapeID="_x0000_i1066" DrawAspect="Content" ObjectID="_1478976183" r:id="rId63"/>
        </w:object>
      </w:r>
      <w:r>
        <w:t xml:space="preserve">) or more of the cases in which there was bias were replaced with counterfactual data for which there was no treatment effect.  Thus equation (15) is particular example of the bias necessary to invalidate an inference shown in (4), in this case in terms of bias due to non-random assignment to treatments, associated with 1-α. </w:t>
      </w:r>
    </w:p>
    <w:p w:rsidR="00792F6B" w:rsidRDefault="00654392" w:rsidP="00073B98">
      <w:pPr>
        <w:spacing w:after="120" w:line="480" w:lineRule="auto"/>
        <w:ind w:firstLine="720"/>
      </w:pPr>
      <w:r>
        <w:rPr>
          <w:color w:val="000000"/>
        </w:rPr>
        <w:t>In the next S</w:t>
      </w:r>
      <w:r w:rsidR="00AA784C">
        <w:rPr>
          <w:color w:val="000000"/>
        </w:rPr>
        <w:t>ection we use our framework to quantify the robustness of inferences from empirical studies</w:t>
      </w:r>
      <w:r w:rsidR="00792F6B">
        <w:rPr>
          <w:color w:val="000000"/>
        </w:rPr>
        <w:t xml:space="preserve">. </w:t>
      </w:r>
      <w:r w:rsidR="00792F6B">
        <w:t xml:space="preserve">For each study we quantify the extent of bias necessary to invalidate the inference and interpret using our framework based on RCM. We then compare with one prominent and one recent study of similar design.  As a set, the studies address issues of assignment of students to schools, school policy and structure, curriculum, and teacher knowledge and practices. In technical appendix B we then </w:t>
      </w:r>
      <w:r w:rsidR="00291CBF">
        <w:t xml:space="preserve">apply our framework to </w:t>
      </w:r>
      <w:r w:rsidR="00792F6B">
        <w:t xml:space="preserve">all of the studies available on-line (as of Dec 19, 2012) for upcoming publication in this journal. </w:t>
      </w:r>
    </w:p>
    <w:p w:rsidR="00AA784C" w:rsidRPr="00B553CE" w:rsidRDefault="00AA784C" w:rsidP="00AA784C">
      <w:pPr>
        <w:widowControl w:val="0"/>
        <w:spacing w:line="480" w:lineRule="auto"/>
        <w:jc w:val="center"/>
        <w:rPr>
          <w:rFonts w:eastAsia="@PMingLiU"/>
          <w:b/>
        </w:rPr>
      </w:pPr>
      <w:r w:rsidRPr="00B553CE">
        <w:rPr>
          <w:rFonts w:eastAsia="@PMingLiU"/>
          <w:b/>
        </w:rPr>
        <w:t>Examples</w:t>
      </w:r>
    </w:p>
    <w:p w:rsidR="00AA784C" w:rsidRDefault="00AA784C" w:rsidP="00073B98">
      <w:pPr>
        <w:widowControl w:val="0"/>
        <w:spacing w:after="120" w:line="480" w:lineRule="auto"/>
        <w:jc w:val="center"/>
        <w:rPr>
          <w:i/>
          <w:color w:val="000000"/>
        </w:rPr>
      </w:pPr>
      <w:r>
        <w:rPr>
          <w:rFonts w:eastAsia="@PMingLiU"/>
          <w:i/>
        </w:rPr>
        <w:t>The Effect of Open Court Reading on Reading Achievement</w:t>
      </w:r>
    </w:p>
    <w:p w:rsidR="00AA784C" w:rsidRDefault="00AA784C" w:rsidP="00AA784C">
      <w:pPr>
        <w:widowControl w:val="0"/>
        <w:spacing w:line="480" w:lineRule="auto"/>
        <w:ind w:firstLine="720"/>
      </w:pPr>
      <w:r>
        <w:t>Borman et al. (2008) motivated their randomized experiment of the Open Court Reading (OCR) curriculum on reading achievement by noting “The Open Court Reading (OCR) program, published by SRA/McGraw-Hill, has been widely used since the 1960s and offers a phonics-based K-6 curriculum that is grounded in the research-based practices cited in the National Reading Panel report (National Reading Panel, 2000)” (page 390).  Furthermore, the program is quit</w:t>
      </w:r>
      <w:r>
        <w:rPr>
          <w:lang w:eastAsia="zh-CN"/>
        </w:rPr>
        <w:t>e</w:t>
      </w:r>
      <w:r>
        <w:t xml:space="preserve"> popular:  “…to date, a total of 1,847 districts and over 6,000 schools have adopted the OCR program across the United States” (page 390). And yet from the perspective of internal validity, Borman et al. stated “despite its widespread dissemination, though, OCR has never been evaluated rigorously through a randomized trial” (page 390). </w:t>
      </w:r>
    </w:p>
    <w:p w:rsidR="00AA784C" w:rsidRDefault="00AA784C" w:rsidP="00AA784C">
      <w:pPr>
        <w:widowControl w:val="0"/>
        <w:spacing w:line="480" w:lineRule="auto"/>
        <w:ind w:firstLine="720"/>
        <w:rPr>
          <w:lang w:eastAsia="zh-CN"/>
        </w:rPr>
      </w:pPr>
      <w:r>
        <w:t xml:space="preserve">Based on an analysis of 49 classrooms randomly assigned to OCR versus business as </w:t>
      </w:r>
      <w:r>
        <w:lastRenderedPageBreak/>
        <w:t xml:space="preserve">usual, Borman et al. (2008) found </w:t>
      </w:r>
      <w:bookmarkStart w:id="1" w:name="OLE_LINK4"/>
      <w:bookmarkStart w:id="2" w:name="OLE_LINK7"/>
      <w:r>
        <w:t>OCR increased students’ composite reading score across all grades by 7.95 points (in</w:t>
      </w:r>
      <w:r w:rsidR="0090028A">
        <w:t xml:space="preserve"> Table</w:t>
      </w:r>
      <w:r>
        <w:t xml:space="preserve"> 4 of Borman et al).   This effect was about 1/7 of the standard deviation on the achievement test, equivalent to 1/8 of a year’s growth </w:t>
      </w:r>
      <w:r>
        <w:rPr>
          <w:color w:val="000000"/>
        </w:rPr>
        <w:t xml:space="preserve">and was statistically significant </w:t>
      </w:r>
      <w:r>
        <w:t xml:space="preserve">(p </w:t>
      </w:r>
      <w:r>
        <w:rPr>
          <w:u w:val="single"/>
        </w:rPr>
        <w:t>&lt;</w:t>
      </w:r>
      <w:r w:rsidR="002077FB">
        <w:t>.001</w:t>
      </w:r>
      <w:r>
        <w:t>, t-ratio of 4.34)</w:t>
      </w:r>
      <w:r>
        <w:rPr>
          <w:color w:val="000000"/>
        </w:rPr>
        <w:t>.</w:t>
      </w:r>
      <w:r>
        <w:t xml:space="preserve">    Borman et al. concluded that OCR affects reading outcomes: “The outcomes from these analyses not only provide evidence of the promising one-year effects of OCR on students’ reading outcomes, but they also suggest that these effects may be replicated across varying contexts with rather consistent and positive results” (page 405).</w:t>
      </w:r>
    </w:p>
    <w:bookmarkEnd w:id="1"/>
    <w:bookmarkEnd w:id="2"/>
    <w:p w:rsidR="00AA784C" w:rsidRDefault="00AA784C" w:rsidP="00AA784C">
      <w:pPr>
        <w:widowControl w:val="0"/>
        <w:spacing w:line="480" w:lineRule="auto"/>
        <w:ind w:firstLine="720"/>
      </w:pPr>
      <w:r>
        <w:t xml:space="preserve">In making their inference, Borman et al. (2008) were explicitly concerned with how well their sample represented broad populations of </w:t>
      </w:r>
      <w:r>
        <w:rPr>
          <w:lang w:eastAsia="zh-CN"/>
        </w:rPr>
        <w:t>classrooms.</w:t>
      </w:r>
      <w:r>
        <w:t xml:space="preserve">  Thus they randomly sampled from schools that </w:t>
      </w:r>
      <w:r>
        <w:rPr>
          <w:lang w:eastAsia="zh-CN"/>
        </w:rPr>
        <w:t xml:space="preserve">expressed </w:t>
      </w:r>
      <w:r>
        <w:t>interest to the Open Court developer SRA/McGraw-Hill.  Partly as a result of the random sample, schools in Borman et al.’s sample were located across the country (Florida</w:t>
      </w:r>
      <w:r>
        <w:rPr>
          <w:lang w:eastAsia="zh-CN"/>
        </w:rPr>
        <w:t xml:space="preserve">, </w:t>
      </w:r>
      <w:r>
        <w:t>Georgia, Indiana, Idaho</w:t>
      </w:r>
      <w:r>
        <w:rPr>
          <w:lang w:eastAsia="zh-CN"/>
        </w:rPr>
        <w:t>,</w:t>
      </w:r>
      <w:r>
        <w:t xml:space="preserve"> North Carolina, </w:t>
      </w:r>
      <w:r>
        <w:rPr>
          <w:lang w:eastAsia="zh-CN"/>
        </w:rPr>
        <w:t xml:space="preserve">and </w:t>
      </w:r>
      <w:r>
        <w:t>Texas) and varied in socioeconomic status. Furthermore, Borman et al. carefully attended to sample attrition in their analyses.</w:t>
      </w:r>
    </w:p>
    <w:p w:rsidR="002C7C65" w:rsidRDefault="00AA784C" w:rsidP="00F31EB2">
      <w:pPr>
        <w:widowControl w:val="0"/>
        <w:spacing w:line="480" w:lineRule="auto"/>
        <w:ind w:firstLine="720"/>
        <w:rPr>
          <w:color w:val="000000"/>
        </w:rPr>
      </w:pPr>
      <w:r w:rsidRPr="0034091A">
        <w:rPr>
          <w:lang w:val="nl-NL"/>
        </w:rPr>
        <w:t xml:space="preserve">Even given Borman et al. </w:t>
      </w:r>
      <w:r>
        <w:t xml:space="preserve">(2008)’s attention to their sample, there may be important concerns about the external validity of Borman et al.’s inference. </w:t>
      </w:r>
      <w:r>
        <w:rPr>
          <w:color w:val="000000"/>
        </w:rPr>
        <w:t>In particular, schools that had approached SRA/</w:t>
      </w:r>
      <w:r>
        <w:t>McGraw-Hill</w:t>
      </w:r>
      <w:r>
        <w:rPr>
          <w:color w:val="000000"/>
        </w:rPr>
        <w:t xml:space="preserve"> prior to Borman et al.’s study may have had substantive reasons for believing OCR would work particularly well for them</w:t>
      </w:r>
      <w:r w:rsidR="00EA7F6E">
        <w:rPr>
          <w:color w:val="000000"/>
        </w:rPr>
        <w:t xml:space="preserve"> (</w:t>
      </w:r>
      <w:r w:rsidR="00797604">
        <w:rPr>
          <w:color w:val="000000"/>
        </w:rPr>
        <w:t xml:space="preserve">e.g., </w:t>
      </w:r>
      <w:r w:rsidR="00EA7F6E">
        <w:rPr>
          <w:color w:val="000000"/>
        </w:rPr>
        <w:t>Heckman, 2005)</w:t>
      </w:r>
      <w:r>
        <w:rPr>
          <w:color w:val="000000"/>
        </w:rPr>
        <w:t xml:space="preserve">.  </w:t>
      </w:r>
      <w:r w:rsidR="004F4233">
        <w:rPr>
          <w:color w:val="000000"/>
        </w:rPr>
        <w:t xml:space="preserve">At the very least, if Borman et al.’s study had any effect on adoption of OCR, then one could not be certain that the post-study population </w:t>
      </w:r>
      <w:r w:rsidR="002C7C65">
        <w:rPr>
          <w:color w:val="000000"/>
        </w:rPr>
        <w:t>(</w:t>
      </w:r>
      <w:r w:rsidR="004F4233" w:rsidRPr="00425574">
        <w:rPr>
          <w:i/>
        </w:rPr>
        <w:t>p</w:t>
      </w:r>
      <w:r w:rsidR="004F4233">
        <w:rPr>
          <w:i/>
          <w:color w:val="000000"/>
        </w:rPr>
        <w:t>´</w:t>
      </w:r>
      <w:r w:rsidR="002C7C65">
        <w:rPr>
          <w:color w:val="000000"/>
        </w:rPr>
        <w:t>)</w:t>
      </w:r>
      <w:r w:rsidR="004F4233">
        <w:rPr>
          <w:i/>
          <w:color w:val="000000"/>
        </w:rPr>
        <w:t xml:space="preserve"> </w:t>
      </w:r>
      <w:r w:rsidR="004F4233">
        <w:rPr>
          <w:color w:val="000000"/>
        </w:rPr>
        <w:t>was represented by the pre-study population (</w:t>
      </w:r>
      <w:r w:rsidR="004F4233">
        <w:rPr>
          <w:i/>
          <w:color w:val="000000"/>
        </w:rPr>
        <w:t>p</w:t>
      </w:r>
      <w:r w:rsidR="004F4233">
        <w:rPr>
          <w:color w:val="000000"/>
        </w:rPr>
        <w:t>), because the pre-study population did not have access to Borman et al.’s results.  This is a</w:t>
      </w:r>
      <w:r w:rsidR="008B36F0">
        <w:rPr>
          <w:color w:val="000000"/>
        </w:rPr>
        <w:t xml:space="preserve"> </w:t>
      </w:r>
      <w:r w:rsidR="004F4233">
        <w:rPr>
          <w:color w:val="000000"/>
        </w:rPr>
        <w:t xml:space="preserve">fundamental </w:t>
      </w:r>
      <w:r w:rsidR="008B36F0">
        <w:rPr>
          <w:color w:val="000000"/>
        </w:rPr>
        <w:t>limitation of external validity</w:t>
      </w:r>
      <w:r w:rsidR="0044146E">
        <w:rPr>
          <w:color w:val="000000"/>
        </w:rPr>
        <w:t xml:space="preserve">; </w:t>
      </w:r>
      <w:r w:rsidR="008B36F0">
        <w:rPr>
          <w:color w:val="000000"/>
        </w:rPr>
        <w:t xml:space="preserve">a researcher cannot simultaneously </w:t>
      </w:r>
      <w:r w:rsidR="0044146E">
        <w:rPr>
          <w:color w:val="000000"/>
        </w:rPr>
        <w:t xml:space="preserve">change the </w:t>
      </w:r>
      <w:r w:rsidR="008B36F0">
        <w:rPr>
          <w:color w:val="000000"/>
        </w:rPr>
        <w:t xml:space="preserve">behavior </w:t>
      </w:r>
      <w:r w:rsidR="0044146E">
        <w:rPr>
          <w:color w:val="000000"/>
        </w:rPr>
        <w:t xml:space="preserve">in a population </w:t>
      </w:r>
      <w:r w:rsidR="008B36F0">
        <w:rPr>
          <w:color w:val="000000"/>
        </w:rPr>
        <w:t xml:space="preserve">and claim that the pre-study population </w:t>
      </w:r>
      <w:r w:rsidR="008B36F0" w:rsidRPr="00B42511">
        <w:rPr>
          <w:color w:val="000000"/>
        </w:rPr>
        <w:t>fully</w:t>
      </w:r>
      <w:r w:rsidR="008B36F0">
        <w:rPr>
          <w:color w:val="000000"/>
        </w:rPr>
        <w:t xml:space="preserve"> represents the post-study population.</w:t>
      </w:r>
      <w:r w:rsidR="00404F54">
        <w:rPr>
          <w:color w:val="000000"/>
        </w:rPr>
        <w:t xml:space="preserve"> </w:t>
      </w:r>
      <w:r>
        <w:rPr>
          <w:color w:val="000000"/>
        </w:rPr>
        <w:t xml:space="preserve">Given the </w:t>
      </w:r>
      <w:r w:rsidR="00B42511">
        <w:rPr>
          <w:color w:val="000000"/>
        </w:rPr>
        <w:t xml:space="preserve">limitation </w:t>
      </w:r>
      <w:r w:rsidR="002C7C65">
        <w:rPr>
          <w:color w:val="000000"/>
        </w:rPr>
        <w:t>for a sample in a randomized experiment to represent non-volunteer or post-</w:t>
      </w:r>
      <w:r w:rsidR="002C7C65">
        <w:rPr>
          <w:color w:val="000000"/>
        </w:rPr>
        <w:lastRenderedPageBreak/>
        <w:t xml:space="preserve">study populations, </w:t>
      </w:r>
      <w:r>
        <w:rPr>
          <w:color w:val="000000"/>
        </w:rPr>
        <w:t xml:space="preserve">debate about </w:t>
      </w:r>
      <w:r w:rsidR="002C7C65">
        <w:rPr>
          <w:color w:val="000000"/>
        </w:rPr>
        <w:t xml:space="preserve">a general effect of OCR </w:t>
      </w:r>
      <w:r>
        <w:rPr>
          <w:color w:val="000000"/>
        </w:rPr>
        <w:t xml:space="preserve">is inevitable. </w:t>
      </w:r>
    </w:p>
    <w:p w:rsidR="00207253" w:rsidRDefault="002C7C65" w:rsidP="004064C9">
      <w:pPr>
        <w:widowControl w:val="0"/>
        <w:spacing w:line="480" w:lineRule="auto"/>
        <w:ind w:firstLine="720"/>
        <w:rPr>
          <w:color w:val="000000"/>
        </w:rPr>
      </w:pPr>
      <w:r>
        <w:rPr>
          <w:color w:val="000000"/>
        </w:rPr>
        <w:t xml:space="preserve">To inform debate about the general effect of OCR, we quantify the </w:t>
      </w:r>
      <w:r w:rsidR="00AA784C">
        <w:rPr>
          <w:color w:val="000000"/>
        </w:rPr>
        <w:t xml:space="preserve">proportion of </w:t>
      </w:r>
      <w:r>
        <w:rPr>
          <w:color w:val="000000"/>
        </w:rPr>
        <w:t xml:space="preserve">Borman et al.’s </w:t>
      </w:r>
      <w:r w:rsidR="00AA784C">
        <w:rPr>
          <w:color w:val="000000"/>
        </w:rPr>
        <w:t xml:space="preserve">estimate </w:t>
      </w:r>
      <w:r>
        <w:rPr>
          <w:color w:val="000000"/>
        </w:rPr>
        <w:t xml:space="preserve">that </w:t>
      </w:r>
      <w:r w:rsidR="00AA784C">
        <w:rPr>
          <w:color w:val="000000"/>
        </w:rPr>
        <w:t>must be due to sampling bias to invalid</w:t>
      </w:r>
      <w:r w:rsidR="005327B4">
        <w:rPr>
          <w:color w:val="000000"/>
        </w:rPr>
        <w:t xml:space="preserve">ate </w:t>
      </w:r>
      <w:r>
        <w:rPr>
          <w:color w:val="000000"/>
        </w:rPr>
        <w:t>their inference.</w:t>
      </w:r>
      <w:r w:rsidR="00EA7F6E">
        <w:rPr>
          <w:color w:val="000000"/>
        </w:rPr>
        <w:t xml:space="preserve"> </w:t>
      </w:r>
      <w:r w:rsidR="00AA784C">
        <w:rPr>
          <w:color w:val="000000"/>
        </w:rPr>
        <w:t xml:space="preserve">We begin by choosing statistical significance as a threshold for inference because it reflects sampling error (although we will comment </w:t>
      </w:r>
      <w:r w:rsidR="007B4BC3">
        <w:rPr>
          <w:color w:val="000000"/>
        </w:rPr>
        <w:t xml:space="preserve">at the end of this Section </w:t>
      </w:r>
      <w:r w:rsidR="00AA784C">
        <w:rPr>
          <w:color w:val="000000"/>
        </w:rPr>
        <w:t>on how other thresholds can be used). Given Borman et al.’s sample size of 49 (and 3 parameters estimated) and standard error of 1.83, the threshold for statistical significance is δ</w:t>
      </w:r>
      <w:r w:rsidR="00AA784C" w:rsidRPr="005A076A">
        <w:rPr>
          <w:color w:val="000000"/>
          <w:vertAlign w:val="superscript"/>
        </w:rPr>
        <w:t>#</w:t>
      </w:r>
      <w:r w:rsidR="00AA784C">
        <w:rPr>
          <w:color w:val="000000"/>
          <w:vertAlign w:val="superscript"/>
        </w:rPr>
        <w:t xml:space="preserve"> </w:t>
      </w:r>
      <w:r w:rsidR="00AA784C" w:rsidRPr="008607D1">
        <w:rPr>
          <w:color w:val="000000"/>
        </w:rPr>
        <w:t>=</w:t>
      </w:r>
      <w:r w:rsidR="00AA784C" w:rsidRPr="008607D1">
        <w:rPr>
          <w:color w:val="000000"/>
          <w:lang w:eastAsia="zh-CN"/>
        </w:rPr>
        <w:t xml:space="preserve"> se x </w:t>
      </w:r>
      <w:proofErr w:type="spellStart"/>
      <w:r w:rsidR="00AA784C" w:rsidRPr="008607D1">
        <w:rPr>
          <w:color w:val="000000"/>
        </w:rPr>
        <w:t>t</w:t>
      </w:r>
      <w:r w:rsidR="00AA784C" w:rsidRPr="008607D1">
        <w:rPr>
          <w:color w:val="000000"/>
          <w:vertAlign w:val="subscript"/>
        </w:rPr>
        <w:t>critical</w:t>
      </w:r>
      <w:proofErr w:type="spellEnd"/>
      <w:r w:rsidR="00AA784C" w:rsidRPr="008607D1">
        <w:rPr>
          <w:color w:val="000000"/>
          <w:vertAlign w:val="subscript"/>
        </w:rPr>
        <w:t xml:space="preserve">, </w:t>
      </w:r>
      <w:proofErr w:type="spellStart"/>
      <w:proofErr w:type="gramStart"/>
      <w:r w:rsidR="00AA784C" w:rsidRPr="008607D1">
        <w:rPr>
          <w:color w:val="000000"/>
          <w:vertAlign w:val="subscript"/>
        </w:rPr>
        <w:t>df</w:t>
      </w:r>
      <w:proofErr w:type="spellEnd"/>
      <w:r w:rsidR="00AA784C" w:rsidRPr="008607D1">
        <w:rPr>
          <w:color w:val="000000"/>
          <w:vertAlign w:val="subscript"/>
        </w:rPr>
        <w:t>=</w:t>
      </w:r>
      <w:proofErr w:type="gramEnd"/>
      <w:r w:rsidR="00AA784C" w:rsidRPr="008607D1">
        <w:rPr>
          <w:color w:val="000000"/>
          <w:vertAlign w:val="subscript"/>
        </w:rPr>
        <w:t>46</w:t>
      </w:r>
      <w:r w:rsidR="00AA784C" w:rsidRPr="008607D1">
        <w:rPr>
          <w:color w:val="000000"/>
        </w:rPr>
        <w:t xml:space="preserve"> =1.83 x 2.013</w:t>
      </w:r>
      <w:r w:rsidR="00AA784C">
        <w:t>=3.68.  Given the estimated effect (</w:t>
      </w:r>
      <w:r w:rsidR="00AA784C" w:rsidRPr="008A0275">
        <w:rPr>
          <w:position w:val="-6"/>
          <w:sz w:val="20"/>
          <w:lang w:val="de-DE"/>
        </w:rPr>
        <w:object w:dxaOrig="220" w:dyaOrig="340">
          <v:shape id="_x0000_i1067" type="#_x0000_t75" style="width:11.25pt;height:17.25pt" o:ole="" fillcolor="window">
            <v:imagedata r:id="rId64" o:title=""/>
          </v:shape>
          <o:OLEObject Type="Embed" ProgID="Equation.DSMT4" ShapeID="_x0000_i1067" DrawAspect="Content" ObjectID="_1478976184" r:id="rId65"/>
        </w:object>
      </w:r>
      <w:r w:rsidR="00AA784C">
        <w:t>) was 7.95</w:t>
      </w:r>
      <w:r w:rsidR="00AA784C">
        <w:rPr>
          <w:color w:val="000000"/>
        </w:rPr>
        <w:t xml:space="preserve">, </w:t>
      </w:r>
      <w:r>
        <w:rPr>
          <w:color w:val="000000"/>
        </w:rPr>
        <w:t xml:space="preserve">to invalidate the inference </w:t>
      </w:r>
      <w:r w:rsidR="00AA784C">
        <w:rPr>
          <w:color w:val="000000"/>
        </w:rPr>
        <w:t>bias must be greater than 7.95</w:t>
      </w:r>
      <w:r w:rsidR="00AA784C">
        <w:t>−</w:t>
      </w:r>
      <w:r w:rsidR="00AA784C">
        <w:rPr>
          <w:color w:val="000000"/>
        </w:rPr>
        <w:t>3.68=4.27, which is 54% of the estimate</w:t>
      </w:r>
      <w:r w:rsidR="00C653A9">
        <w:rPr>
          <w:color w:val="000000"/>
        </w:rPr>
        <w:t xml:space="preserve">. </w:t>
      </w:r>
    </w:p>
    <w:p w:rsidR="00207253" w:rsidRDefault="00207253" w:rsidP="004064C9">
      <w:pPr>
        <w:widowControl w:val="0"/>
        <w:spacing w:line="480" w:lineRule="auto"/>
        <w:ind w:firstLine="720"/>
        <w:rPr>
          <w:color w:val="000000"/>
        </w:rPr>
      </w:pPr>
      <w:r>
        <w:rPr>
          <w:color w:val="000000"/>
        </w:rPr>
        <w:t xml:space="preserve">Drawing on the general features of our framework, </w:t>
      </w:r>
      <w:r w:rsidR="005238EA">
        <w:rPr>
          <w:color w:val="000000"/>
        </w:rPr>
        <w:t xml:space="preserve">to invalidate Borman et al.’s inference of an effect of OCR on reading achievement </w:t>
      </w:r>
      <w:r>
        <w:rPr>
          <w:color w:val="000000"/>
        </w:rPr>
        <w:t xml:space="preserve">one would have to replace 54% of the cases </w:t>
      </w:r>
      <w:r w:rsidR="005238EA">
        <w:rPr>
          <w:color w:val="000000"/>
        </w:rPr>
        <w:t xml:space="preserve">in study, and assume the </w:t>
      </w:r>
      <w:r>
        <w:rPr>
          <w:color w:val="000000"/>
        </w:rPr>
        <w:t>limiting condition</w:t>
      </w:r>
      <w:r w:rsidR="005238EA">
        <w:rPr>
          <w:color w:val="000000"/>
        </w:rPr>
        <w:t xml:space="preserve"> of </w:t>
      </w:r>
      <w:r>
        <w:rPr>
          <w:color w:val="000000"/>
        </w:rPr>
        <w:t>zero effect of OCR in the replacement cases.  Applying (10)</w:t>
      </w:r>
      <w:r w:rsidR="00BE357F">
        <w:rPr>
          <w:color w:val="000000"/>
        </w:rPr>
        <w:t>,</w:t>
      </w:r>
      <w:r>
        <w:rPr>
          <w:color w:val="000000"/>
        </w:rPr>
        <w:t xml:space="preserve"> the replacement cases would come from the non-volunteer population (</w:t>
      </w:r>
      <w:r w:rsidRPr="002323BF">
        <w:rPr>
          <w:i/>
          <w:color w:val="000000"/>
        </w:rPr>
        <w:t>p</w:t>
      </w:r>
      <w:r>
        <w:rPr>
          <w:i/>
          <w:color w:val="000000"/>
        </w:rPr>
        <w:t>´</w:t>
      </w:r>
      <w:r>
        <w:rPr>
          <w:color w:val="000000"/>
        </w:rPr>
        <w:t>)</w:t>
      </w:r>
      <w:r w:rsidR="005238EA">
        <w:rPr>
          <w:color w:val="000000"/>
        </w:rPr>
        <w:t xml:space="preserve">. </w:t>
      </w:r>
      <w:r w:rsidR="00412934">
        <w:rPr>
          <w:color w:val="000000"/>
        </w:rPr>
        <w:t xml:space="preserve">That is, </w:t>
      </w:r>
      <w:r w:rsidR="00EE122D">
        <w:rPr>
          <w:color w:val="000000"/>
        </w:rPr>
        <w:t xml:space="preserve">54% of the observed volunteer classrooms in Borman et al.’s study must be </w:t>
      </w:r>
      <w:proofErr w:type="spellStart"/>
      <w:r w:rsidR="00EE122D">
        <w:rPr>
          <w:color w:val="000000"/>
        </w:rPr>
        <w:t>unexchangeable</w:t>
      </w:r>
      <w:proofErr w:type="spellEnd"/>
      <w:r w:rsidR="00EE122D">
        <w:rPr>
          <w:color w:val="000000"/>
        </w:rPr>
        <w:t xml:space="preserve"> with the unobserved non-volunteer classrooms in the sense that it is necessary to replace those 54% of cases with unobserved cases </w:t>
      </w:r>
      <w:r>
        <w:rPr>
          <w:color w:val="000000"/>
        </w:rPr>
        <w:t xml:space="preserve">for the </w:t>
      </w:r>
      <w:r w:rsidR="00974EB5">
        <w:rPr>
          <w:color w:val="000000"/>
        </w:rPr>
        <w:t xml:space="preserve">inference </w:t>
      </w:r>
      <w:r>
        <w:rPr>
          <w:color w:val="000000"/>
        </w:rPr>
        <w:t xml:space="preserve">to be valid a population that includes non-volunteer cases. </w:t>
      </w:r>
    </w:p>
    <w:p w:rsidR="004064C9" w:rsidRDefault="004064C9" w:rsidP="004064C9">
      <w:pPr>
        <w:widowControl w:val="0"/>
        <w:spacing w:line="480" w:lineRule="auto"/>
        <w:ind w:firstLine="720"/>
      </w:pPr>
      <w:r>
        <w:rPr>
          <w:color w:val="000000"/>
        </w:rPr>
        <w:t xml:space="preserve">To gain intuition about sample replacement, examine Figure 2 which shows distributions for business as usual and Open Court before and after </w:t>
      </w:r>
      <w:r w:rsidR="002C7C65">
        <w:rPr>
          <w:color w:val="000000"/>
        </w:rPr>
        <w:t xml:space="preserve">sample </w:t>
      </w:r>
      <w:r>
        <w:rPr>
          <w:color w:val="000000"/>
        </w:rPr>
        <w:t xml:space="preserve">replacement.  The </w:t>
      </w:r>
      <w:r w:rsidR="00CB102D">
        <w:rPr>
          <w:color w:val="000000"/>
        </w:rPr>
        <w:t xml:space="preserve">dashed </w:t>
      </w:r>
      <w:r>
        <w:rPr>
          <w:color w:val="000000"/>
        </w:rPr>
        <w:t>line represents the observed data based on parameter estimates from Borman et al.’s multilevel model, including pre-test as a covariate (data were simulated with mean for business as usual = 607</w:t>
      </w:r>
      <w:r>
        <w:t xml:space="preserve">; mean for Open Court =615 –see Borman et al., 400-402).  </w:t>
      </w:r>
      <w:r w:rsidR="00CD043C">
        <w:t xml:space="preserve">The replacement data were constructed to preserve the original mean of </w:t>
      </w:r>
      <w:r w:rsidR="00257E9E">
        <w:t xml:space="preserve">roughly </w:t>
      </w:r>
      <w:r w:rsidR="00CD043C">
        <w:t>611 and standard deviation</w:t>
      </w:r>
      <w:r w:rsidR="00257E9E">
        <w:t xml:space="preserve"> (</w:t>
      </w:r>
      <w:r w:rsidR="00CD043C">
        <w:t xml:space="preserve">assumed to be </w:t>
      </w:r>
      <w:r>
        <w:lastRenderedPageBreak/>
        <w:t xml:space="preserve">6.67 based on Borman et al.’s results and </w:t>
      </w:r>
      <w:r w:rsidR="00EA7F6E">
        <w:t xml:space="preserve">assuming </w:t>
      </w:r>
      <w:r>
        <w:t>equal variance within groups</w:t>
      </w:r>
      <w:r w:rsidR="00257E9E">
        <w:t>)</w:t>
      </w:r>
      <w:r>
        <w:t>.</w:t>
      </w:r>
      <w:r w:rsidR="00031F73">
        <w:t xml:space="preserve"> </w:t>
      </w:r>
      <w:proofErr w:type="gramStart"/>
      <w:r w:rsidR="00031F73">
        <w:rPr>
          <w:vertAlign w:val="superscript"/>
        </w:rPr>
        <w:t>iii</w:t>
      </w:r>
      <w:proofErr w:type="gramEnd"/>
      <w:r>
        <w:t xml:space="preserve"> </w:t>
      </w:r>
    </w:p>
    <w:p w:rsidR="004064C9" w:rsidRDefault="004064C9" w:rsidP="00073B98">
      <w:pPr>
        <w:widowControl w:val="0"/>
        <w:pBdr>
          <w:top w:val="single" w:sz="6" w:space="1" w:color="auto"/>
          <w:bottom w:val="single" w:sz="6" w:space="1" w:color="auto"/>
        </w:pBdr>
        <w:spacing w:after="120"/>
        <w:ind w:firstLine="720"/>
        <w:jc w:val="center"/>
        <w:rPr>
          <w:color w:val="000000"/>
        </w:rPr>
      </w:pPr>
      <w:r>
        <w:rPr>
          <w:color w:val="000000"/>
        </w:rPr>
        <w:t>Insert Figure 2 here</w:t>
      </w:r>
    </w:p>
    <w:p w:rsidR="009357F8" w:rsidRDefault="004064C9" w:rsidP="007B4BC3">
      <w:pPr>
        <w:widowControl w:val="0"/>
        <w:spacing w:before="240" w:line="480" w:lineRule="auto"/>
        <w:ind w:firstLine="720"/>
      </w:pPr>
      <w:r>
        <w:t xml:space="preserve">The black bars in Figure 2 represent the 46% (n=19) of classrooms that were not replaced, and the gray bars represent the 54% (n=30) replacement classrooms randomly selected from </w:t>
      </w:r>
      <w:r w:rsidR="001C4AAF">
        <w:t xml:space="preserve">a </w:t>
      </w:r>
      <w:r w:rsidR="002C7C65">
        <w:t xml:space="preserve">hypothetical </w:t>
      </w:r>
      <w:r>
        <w:t>population of classrooms that did not volunteer for the study (</w:t>
      </w:r>
      <w:r w:rsidRPr="002323BF">
        <w:rPr>
          <w:i/>
          <w:color w:val="000000"/>
        </w:rPr>
        <w:t>p</w:t>
      </w:r>
      <w:r>
        <w:rPr>
          <w:i/>
          <w:color w:val="000000"/>
        </w:rPr>
        <w:t>´</w:t>
      </w:r>
      <w:r>
        <w:t>).</w:t>
      </w:r>
      <w:r w:rsidR="00031F73">
        <w:t xml:space="preserve"> </w:t>
      </w:r>
      <w:proofErr w:type="gramStart"/>
      <w:r w:rsidR="00031F73">
        <w:rPr>
          <w:vertAlign w:val="superscript"/>
        </w:rPr>
        <w:t>iv</w:t>
      </w:r>
      <w:r>
        <w:t xml:space="preserve"> </w:t>
      </w:r>
      <w:r w:rsidR="005804C1">
        <w:t xml:space="preserve"> </w:t>
      </w:r>
      <w:r w:rsidR="00412934">
        <w:t>F</w:t>
      </w:r>
      <w:r w:rsidR="009357F8">
        <w:t>or</w:t>
      </w:r>
      <w:proofErr w:type="gramEnd"/>
      <w:r w:rsidR="009357F8">
        <w:t xml:space="preserve"> business as usual, the mean for the replacement data was about 4 points greater than the observed data.  For OCR the mean for the replacement data was about 3 points less than the observed data, narrowing the difference between the curricula by about 7 points (the data with the replacement values were associated with t-ratio of 1.86 with a p-value of .068).  </w:t>
      </w:r>
      <w:r w:rsidR="00412934">
        <w:t xml:space="preserve">The </w:t>
      </w:r>
      <w:r w:rsidR="00144253">
        <w:t xml:space="preserve">graphic </w:t>
      </w:r>
      <w:r w:rsidR="00412934">
        <w:t xml:space="preserve">convergence of the distributions represents what it means to replace 54% of the data with data for which there </w:t>
      </w:r>
      <w:r w:rsidR="00144253">
        <w:t>i</w:t>
      </w:r>
      <w:r w:rsidR="00412934">
        <w:t>s no effect.</w:t>
      </w:r>
    </w:p>
    <w:p w:rsidR="00EA7F6E" w:rsidRDefault="00EA7F6E" w:rsidP="00EA7F6E">
      <w:pPr>
        <w:widowControl w:val="0"/>
        <w:spacing w:line="480" w:lineRule="auto"/>
        <w:ind w:firstLine="720"/>
        <w:rPr>
          <w:color w:val="000000"/>
        </w:rPr>
      </w:pPr>
      <w:r>
        <w:rPr>
          <w:color w:val="000000"/>
        </w:rPr>
        <w:t xml:space="preserve">We now compare the robustness of Borman et al.’s inference with the robustness of inferences from two other randomized experiments: Finn and Achilles’ (1990) prominent study of the effects of small classes on achievement in Tennessee, and Clements and </w:t>
      </w:r>
      <w:proofErr w:type="spellStart"/>
      <w:r>
        <w:rPr>
          <w:color w:val="000000"/>
        </w:rPr>
        <w:t>Sarama’s</w:t>
      </w:r>
      <w:proofErr w:type="spellEnd"/>
      <w:r>
        <w:rPr>
          <w:color w:val="000000"/>
        </w:rPr>
        <w:t xml:space="preserve"> (2008) relatively recent study of the effects of the Building Blocks curriculum on preschoolers’ mathematical achievement.  The latter offers an important contrast to the scripted OCR curriculum because it is molded through continuous interaction between developers and teachers who implement the curriculum.  </w:t>
      </w:r>
    </w:p>
    <w:p w:rsidR="00EA7F6E" w:rsidRPr="00EA7F6E" w:rsidRDefault="00EA7F6E" w:rsidP="00EA7F6E">
      <w:pPr>
        <w:widowControl w:val="0"/>
        <w:spacing w:line="480" w:lineRule="auto"/>
        <w:ind w:firstLine="720"/>
        <w:rPr>
          <w:color w:val="000000"/>
        </w:rPr>
      </w:pPr>
      <w:r>
        <w:rPr>
          <w:color w:val="000000"/>
        </w:rPr>
        <w:t xml:space="preserve">For comparison of robustness across studies we </w:t>
      </w:r>
      <w:r w:rsidR="007B4BC3">
        <w:rPr>
          <w:color w:val="000000"/>
        </w:rPr>
        <w:t xml:space="preserve">conduct our analysis using the </w:t>
      </w:r>
      <w:r>
        <w:rPr>
          <w:color w:val="000000"/>
        </w:rPr>
        <w:t xml:space="preserve">standardized metric </w:t>
      </w:r>
      <w:r w:rsidR="007B4BC3">
        <w:rPr>
          <w:color w:val="000000"/>
        </w:rPr>
        <w:t>of a correlation</w:t>
      </w:r>
      <w:r>
        <w:rPr>
          <w:color w:val="000000"/>
        </w:rPr>
        <w:t>.</w:t>
      </w:r>
      <w:r w:rsidR="00031F73">
        <w:t xml:space="preserve"> </w:t>
      </w:r>
      <w:proofErr w:type="gramStart"/>
      <w:r w:rsidR="00031F73">
        <w:rPr>
          <w:vertAlign w:val="superscript"/>
        </w:rPr>
        <w:t>v</w:t>
      </w:r>
      <w:r>
        <w:rPr>
          <w:color w:val="000000"/>
        </w:rPr>
        <w:t xml:space="preserve">  </w:t>
      </w:r>
      <w:r w:rsidR="007B4BC3">
        <w:rPr>
          <w:color w:val="000000"/>
        </w:rPr>
        <w:t>A</w:t>
      </w:r>
      <w:r>
        <w:rPr>
          <w:color w:val="000000"/>
        </w:rPr>
        <w:t>s</w:t>
      </w:r>
      <w:proofErr w:type="gramEnd"/>
      <w:r>
        <w:rPr>
          <w:color w:val="000000"/>
        </w:rPr>
        <w:t xml:space="preserve"> shown in Table 1, 47% of Borman et al.’s estimate</w:t>
      </w:r>
      <w:r w:rsidR="007B4BC3">
        <w:rPr>
          <w:color w:val="000000"/>
        </w:rPr>
        <w:t>d correlation between OCR and achievement</w:t>
      </w:r>
      <w:r>
        <w:rPr>
          <w:color w:val="000000"/>
        </w:rPr>
        <w:t xml:space="preserve"> must be due to bias to invalidate their inference. By comparison, 64% of Finn and Achilles’ (1990) estimate must be due to bias to invalidate their inference, and Clements and </w:t>
      </w:r>
      <w:proofErr w:type="spellStart"/>
      <w:r>
        <w:rPr>
          <w:color w:val="000000"/>
        </w:rPr>
        <w:t>Sarama’s</w:t>
      </w:r>
      <w:proofErr w:type="spellEnd"/>
      <w:r>
        <w:rPr>
          <w:color w:val="000000"/>
        </w:rPr>
        <w:t xml:space="preserve"> (2008) inference would be invalid even if only 31% of </w:t>
      </w:r>
      <w:r>
        <w:rPr>
          <w:color w:val="000000"/>
        </w:rPr>
        <w:lastRenderedPageBreak/>
        <w:t xml:space="preserve">their estimate were due to sampling bias. Note that these are merely statements about the relative robustness of the causal inferences.  In order to inform policy related to curricula or small classes, administrators and policy makers should take into account the characteristics of the study designs (e.g., what Shadish, Cook and Campbell, 2002, refer to as surface similarity), as well as the costs of implementing </w:t>
      </w:r>
      <w:r w:rsidR="007B4BC3">
        <w:rPr>
          <w:color w:val="000000"/>
        </w:rPr>
        <w:t xml:space="preserve">a particular policy </w:t>
      </w:r>
      <w:r>
        <w:rPr>
          <w:color w:val="000000"/>
        </w:rPr>
        <w:t>in their contexts.</w:t>
      </w:r>
    </w:p>
    <w:p w:rsidR="00EA7F6E" w:rsidRDefault="00EA7F6E" w:rsidP="00A63702">
      <w:pPr>
        <w:widowControl w:val="0"/>
        <w:pBdr>
          <w:top w:val="single" w:sz="6" w:space="1" w:color="auto"/>
          <w:bottom w:val="single" w:sz="6" w:space="1" w:color="auto"/>
        </w:pBdr>
        <w:spacing w:after="240"/>
        <w:ind w:firstLine="720"/>
        <w:jc w:val="center"/>
        <w:rPr>
          <w:color w:val="000000"/>
        </w:rPr>
      </w:pPr>
      <w:r>
        <w:rPr>
          <w:color w:val="000000"/>
        </w:rPr>
        <w:t>Insert Table 1 here</w:t>
      </w:r>
    </w:p>
    <w:p w:rsidR="00AA784C" w:rsidRDefault="00AA784C" w:rsidP="003D017E">
      <w:pPr>
        <w:jc w:val="center"/>
        <w:rPr>
          <w:i/>
          <w:color w:val="000000"/>
        </w:rPr>
      </w:pPr>
      <w:r>
        <w:rPr>
          <w:i/>
          <w:color w:val="000000"/>
        </w:rPr>
        <w:t>The Effect of Kindergarten Retention on Reading Achievement</w:t>
      </w:r>
    </w:p>
    <w:p w:rsidR="003D017E" w:rsidRDefault="003D017E" w:rsidP="003D017E">
      <w:pPr>
        <w:jc w:val="center"/>
        <w:rPr>
          <w:i/>
          <w:color w:val="000000"/>
        </w:rPr>
      </w:pPr>
    </w:p>
    <w:p w:rsidR="00AA784C" w:rsidRDefault="00AA784C" w:rsidP="00AA784C">
      <w:pPr>
        <w:widowControl w:val="0"/>
        <w:spacing w:line="480" w:lineRule="auto"/>
        <w:ind w:firstLine="720"/>
      </w:pPr>
      <w:r>
        <w:t xml:space="preserve">We now quantify the robustness of an inferred negative effect of kindergarten retention on achievement from an observational study. Similar to the Open Court Curriculum, kindergarten retention is a large scale phenomenon, with the US </w:t>
      </w:r>
      <w:bookmarkStart w:id="3" w:name="OLE_LINK16"/>
      <w:bookmarkStart w:id="4" w:name="OLE_LINK17"/>
      <w:r>
        <w:t xml:space="preserve">Department of Health and Human Services </w:t>
      </w:r>
      <w:bookmarkEnd w:id="3"/>
      <w:bookmarkEnd w:id="4"/>
      <w:r>
        <w:t xml:space="preserve">(2000) estimating that 8% of second graders (more than five hundred thousand) were a year behind their expected grade level as a result of not being promoted, known as retention, in kindergarten or first grade (see also Alexander, </w:t>
      </w:r>
      <w:proofErr w:type="spellStart"/>
      <w:r>
        <w:t>Entwisle</w:t>
      </w:r>
      <w:proofErr w:type="spellEnd"/>
      <w:r>
        <w:t xml:space="preserve"> &amp; Dauber, 2003, p. 1). Furthermore, a disproportionate percentage of those retained are from low socioeconomic backgrounds and/or are racial minorities (Alexander et al., chap. 5). As Alexander et al. wrote:  “next to dropout, failing a grade is probably the most ubiquitous and vexing issue facing school people today” (p. 2).  </w:t>
      </w:r>
    </w:p>
    <w:p w:rsidR="00AA784C" w:rsidRDefault="00AA784C" w:rsidP="00AA784C">
      <w:pPr>
        <w:widowControl w:val="0"/>
        <w:spacing w:line="480" w:lineRule="auto"/>
        <w:ind w:firstLine="720"/>
      </w:pPr>
      <w:r>
        <w:t xml:space="preserve">Given the prevalence and importance of retention, there have been considerable studies and syntheses of retention effects (e.g., Alexander et al., 2003; Holmes, 1989; Holmes &amp; Matthews, 1984; </w:t>
      </w:r>
      <w:proofErr w:type="spellStart"/>
      <w:r>
        <w:t>Jimerson</w:t>
      </w:r>
      <w:proofErr w:type="spellEnd"/>
      <w:r>
        <w:t xml:space="preserve">, 2001; </w:t>
      </w:r>
      <w:proofErr w:type="spellStart"/>
      <w:r>
        <w:t>Karweit</w:t>
      </w:r>
      <w:proofErr w:type="spellEnd"/>
      <w:r>
        <w:t xml:space="preserve">, 1992; Reynolds, 1992; Roderick et al., 1999; Shepard &amp; Smith, 1989).  Yet none of these studies has been conclusive, as there has been extensive debate regarding the effects of retention, especially regarding which covariates must be conditioned on (e.g., Alexander, 1998; Alexander et al., 2003; Shepard, Smith &amp; Marion, 1998). </w:t>
      </w:r>
    </w:p>
    <w:p w:rsidR="00AA784C" w:rsidRDefault="001C4AAF" w:rsidP="00AA784C">
      <w:pPr>
        <w:widowControl w:val="0"/>
        <w:spacing w:line="480" w:lineRule="auto"/>
        <w:ind w:firstLine="720"/>
      </w:pPr>
      <w:r>
        <w:lastRenderedPageBreak/>
        <w:t xml:space="preserve">Because of </w:t>
      </w:r>
      <w:r w:rsidR="00AA784C">
        <w:t xml:space="preserve">the ambiguity of results, a study of the effects of kindergarten retention that employed random assignment to conditions at any level of analysis would be welcome.  But as Alexander et al. (2003, p. 31) wrote, “random assignment, though, is not a viable strategy [for studying retention] because parents or schools would not be willing to have a child pass or fail a grade at the toss of a coin, even for purposes of a scientific experiment (see Harvard Education Letter, 1986:3, on the impracticality of this approach). Also, human subjects review boards and most investigators would demur for ethical reasons.”  This is a specific example of Rubin’s (1974) concerns about implementing randomized experiments as well as Cronbach’s (1982) skepticism about </w:t>
      </w:r>
      <w:r w:rsidR="007B4BC3">
        <w:t xml:space="preserve">the general feasibility of </w:t>
      </w:r>
      <w:r w:rsidR="00AA784C">
        <w:t>random</w:t>
      </w:r>
      <w:r w:rsidR="007B4BC3">
        <w:t xml:space="preserve"> assignment to treatments. </w:t>
      </w:r>
    </w:p>
    <w:p w:rsidR="00AA784C" w:rsidRDefault="00AA784C" w:rsidP="00AA784C">
      <w:pPr>
        <w:widowControl w:val="0"/>
        <w:spacing w:line="480" w:lineRule="auto"/>
        <w:ind w:firstLine="720"/>
      </w:pPr>
      <w:r>
        <w:t>In the absence of random assignment, we turn to studies that attempted to approximate the conditions of random assignment using statistical techniques. Of the recent studies of retention effects (</w:t>
      </w:r>
      <w:proofErr w:type="spellStart"/>
      <w:r>
        <w:t>Burkam</w:t>
      </w:r>
      <w:proofErr w:type="spellEnd"/>
      <w:r>
        <w:t xml:space="preserve"> et al., 2007; </w:t>
      </w:r>
      <w:proofErr w:type="spellStart"/>
      <w:r>
        <w:t>Jimerson</w:t>
      </w:r>
      <w:proofErr w:type="spellEnd"/>
      <w:r>
        <w:t xml:space="preserve">, 2001; </w:t>
      </w:r>
      <w:proofErr w:type="spellStart"/>
      <w:r>
        <w:t>Lorence</w:t>
      </w:r>
      <w:proofErr w:type="spellEnd"/>
      <w:r>
        <w:t xml:space="preserve"> et al., 2002), we focus on Hong and </w:t>
      </w:r>
      <w:proofErr w:type="spellStart"/>
      <w:r>
        <w:t>Raudenbush’s</w:t>
      </w:r>
      <w:proofErr w:type="spellEnd"/>
      <w:r>
        <w:t xml:space="preserve"> (2005) analysis of nationally representative data in the Early Childhood Longitudinal Study (ECLS) which included extensive measures of student background, emotional disposition, motivation, and pretests.  </w:t>
      </w:r>
    </w:p>
    <w:p w:rsidR="00AA784C" w:rsidRDefault="00AA784C" w:rsidP="00AA784C">
      <w:pPr>
        <w:widowControl w:val="0"/>
        <w:spacing w:line="480" w:lineRule="auto"/>
        <w:ind w:firstLine="720"/>
      </w:pPr>
      <w:r>
        <w:t xml:space="preserve">Hong and Raudenbush (2005) used the measures described above in a propensity score model to define a “retained counterfactual” group representing what would have happened to the students who were retained if they had been promoted (e.g., Rubin 1974; Holland 1986). As represented in Figure 3, Hong and Raudenbush estimated that the “retained observed” group scored nine points lower </w:t>
      </w:r>
      <w:r w:rsidR="00C33036">
        <w:t xml:space="preserve">on reading achievement </w:t>
      </w:r>
      <w:r>
        <w:t xml:space="preserve">than the “retained counterfactual” </w:t>
      </w:r>
      <w:r w:rsidR="007B4BC3">
        <w:t xml:space="preserve">group </w:t>
      </w:r>
      <w:r>
        <w:t xml:space="preserve">at the end of first grade. </w:t>
      </w:r>
      <w:proofErr w:type="gramStart"/>
      <w:r w:rsidR="00031F73">
        <w:rPr>
          <w:vertAlign w:val="superscript"/>
        </w:rPr>
        <w:t>vi</w:t>
      </w:r>
      <w:proofErr w:type="gramEnd"/>
      <w:r w:rsidR="00031F73">
        <w:rPr>
          <w:vertAlign w:val="superscript"/>
        </w:rPr>
        <w:t xml:space="preserve">   </w:t>
      </w:r>
      <w:r>
        <w:t xml:space="preserve">The estimated effect was about two thirds of a standard deviation on the test, almost half a year’s expected growth (Hong </w:t>
      </w:r>
      <w:r w:rsidR="0027512D">
        <w:t xml:space="preserve">&amp; </w:t>
      </w:r>
      <w:r>
        <w:t>Raudenbush, p. 220)</w:t>
      </w:r>
      <w:r w:rsidR="00073B98">
        <w:t>,</w:t>
      </w:r>
      <w:r>
        <w:t xml:space="preserve"> and was statistically significant (p </w:t>
      </w:r>
      <w:r>
        <w:rPr>
          <w:u w:val="single"/>
        </w:rPr>
        <w:t>&lt;</w:t>
      </w:r>
      <w:r>
        <w:t xml:space="preserve"> .001, with standard error of.68, and t-ratio of −13.67)</w:t>
      </w:r>
      <w:r w:rsidR="00031F73">
        <w:t xml:space="preserve">. </w:t>
      </w:r>
      <w:proofErr w:type="gramStart"/>
      <w:r w:rsidR="00031F73">
        <w:rPr>
          <w:vertAlign w:val="superscript"/>
        </w:rPr>
        <w:t>vii</w:t>
      </w:r>
      <w:r>
        <w:t xml:space="preserve">  Ultimately</w:t>
      </w:r>
      <w:proofErr w:type="gramEnd"/>
      <w:r>
        <w:t xml:space="preserve">, Hong and </w:t>
      </w:r>
      <w:r>
        <w:lastRenderedPageBreak/>
        <w:t xml:space="preserve">Raudenbush concluded that retention reduces achievement: “children who were retained would have learned more had they been promoted” (page 200). </w:t>
      </w:r>
    </w:p>
    <w:p w:rsidR="00AA784C" w:rsidRDefault="00AA784C" w:rsidP="00073B98">
      <w:pPr>
        <w:widowControl w:val="0"/>
        <w:pBdr>
          <w:top w:val="single" w:sz="6" w:space="1" w:color="auto"/>
          <w:bottom w:val="single" w:sz="6" w:space="1" w:color="auto"/>
        </w:pBdr>
        <w:spacing w:after="120"/>
        <w:ind w:firstLine="720"/>
        <w:jc w:val="center"/>
        <w:rPr>
          <w:color w:val="000000"/>
        </w:rPr>
      </w:pPr>
      <w:r>
        <w:rPr>
          <w:color w:val="000000"/>
        </w:rPr>
        <w:t>Insert Figure 3 here</w:t>
      </w:r>
    </w:p>
    <w:p w:rsidR="00AA784C" w:rsidRPr="00D457A8" w:rsidRDefault="00AA784C" w:rsidP="00AA784C">
      <w:pPr>
        <w:widowControl w:val="0"/>
        <w:spacing w:line="480" w:lineRule="auto"/>
        <w:ind w:firstLine="720"/>
      </w:pPr>
      <w:r>
        <w:t xml:space="preserve">Hong and Raudenbush (2005) did not employ the “Gold Standard” of random assignment to treatment conditions </w:t>
      </w:r>
      <w:r>
        <w:rPr>
          <w:rFonts w:eastAsia="@PMingLiU"/>
        </w:rPr>
        <w:t xml:space="preserve">(e.g., US Department of Education, 2002; </w:t>
      </w:r>
      <w:proofErr w:type="spellStart"/>
      <w:r>
        <w:rPr>
          <w:rFonts w:eastAsia="@PMingLiU"/>
        </w:rPr>
        <w:t>Eisenhardt</w:t>
      </w:r>
      <w:proofErr w:type="spellEnd"/>
      <w:r>
        <w:rPr>
          <w:rFonts w:eastAsia="@PMingLiU"/>
        </w:rPr>
        <w:t xml:space="preserve"> &amp; Towne, 2008)</w:t>
      </w:r>
      <w:r>
        <w:t>.  Instead they relied on statistical covariates to approximate equivalence between the retained and promoted groups. But they may not have conditioned for some factor, such as an aspect of a child’s cognitive ability, emotional dis</w:t>
      </w:r>
      <w:r w:rsidR="00F93B20">
        <w:t>position, or motivation, which wa</w:t>
      </w:r>
      <w:r>
        <w:t xml:space="preserve">s confounded with retention.  </w:t>
      </w:r>
      <w:r>
        <w:rPr>
          <w:color w:val="000000"/>
        </w:rPr>
        <w:t xml:space="preserve">For example, if children with high motivation were less likely to be retained and also tended to have higher achievement, then part or all of Hong and </w:t>
      </w:r>
      <w:proofErr w:type="spellStart"/>
      <w:r>
        <w:rPr>
          <w:color w:val="000000"/>
        </w:rPr>
        <w:t>Raudenbush’s</w:t>
      </w:r>
      <w:proofErr w:type="spellEnd"/>
      <w:r>
        <w:rPr>
          <w:color w:val="000000"/>
        </w:rPr>
        <w:t xml:space="preserve"> observed relationship between retention and achievement might have been due to differences in motivation.  In this sense, there may have been bias in the estimated effect of retention due to differences in motivation</w:t>
      </w:r>
      <w:r w:rsidR="00F93B20">
        <w:rPr>
          <w:color w:val="000000"/>
        </w:rPr>
        <w:t xml:space="preserve"> prior to, or in the absence of, being promoted or retained</w:t>
      </w:r>
      <w:r>
        <w:rPr>
          <w:color w:val="000000"/>
        </w:rPr>
        <w:t>.</w:t>
      </w:r>
    </w:p>
    <w:p w:rsidR="005238EA" w:rsidRDefault="00AA784C" w:rsidP="002F3AB2">
      <w:pPr>
        <w:widowControl w:val="0"/>
        <w:spacing w:line="480" w:lineRule="auto"/>
        <w:ind w:firstLine="720"/>
        <w:rPr>
          <w:color w:val="000000"/>
        </w:rPr>
      </w:pPr>
      <w:r>
        <w:rPr>
          <w:color w:val="000000"/>
        </w:rPr>
        <w:t xml:space="preserve">Our question then is not whether Hong and </w:t>
      </w:r>
      <w:proofErr w:type="spellStart"/>
      <w:r>
        <w:rPr>
          <w:color w:val="000000"/>
        </w:rPr>
        <w:t>Raudenbush’s</w:t>
      </w:r>
      <w:proofErr w:type="spellEnd"/>
      <w:r>
        <w:rPr>
          <w:color w:val="000000"/>
        </w:rPr>
        <w:t xml:space="preserve"> estimated effect of retention was biased because of variables omitted from their analysis.  It almost certainly was.  Our question instead is “How much bias must there have been to invalidate Hong and </w:t>
      </w:r>
      <w:proofErr w:type="spellStart"/>
      <w:r>
        <w:rPr>
          <w:color w:val="000000"/>
        </w:rPr>
        <w:t>Raudenbush’s</w:t>
      </w:r>
      <w:proofErr w:type="spellEnd"/>
      <w:r>
        <w:rPr>
          <w:color w:val="000000"/>
        </w:rPr>
        <w:t xml:space="preserve"> inference?”  Using statistical significance as a threshold for Hong and </w:t>
      </w:r>
      <w:proofErr w:type="spellStart"/>
      <w:r>
        <w:rPr>
          <w:color w:val="000000"/>
        </w:rPr>
        <w:t>Raudenbush’s</w:t>
      </w:r>
      <w:proofErr w:type="spellEnd"/>
      <w:r>
        <w:rPr>
          <w:color w:val="000000"/>
        </w:rPr>
        <w:t xml:space="preserve"> sample of 7639 (471 retained students and 7168 promoted students, page 215 of Hong </w:t>
      </w:r>
      <w:r w:rsidR="0027512D">
        <w:rPr>
          <w:color w:val="000000"/>
        </w:rPr>
        <w:t xml:space="preserve">&amp; </w:t>
      </w:r>
      <w:r>
        <w:rPr>
          <w:color w:val="000000"/>
        </w:rPr>
        <w:t>Raudenbush), and standard error of .68, δ</w:t>
      </w:r>
      <w:r w:rsidRPr="005A076A">
        <w:rPr>
          <w:color w:val="000000"/>
          <w:vertAlign w:val="superscript"/>
        </w:rPr>
        <w:t>#</w:t>
      </w:r>
      <w:r>
        <w:rPr>
          <w:color w:val="000000"/>
          <w:vertAlign w:val="superscript"/>
        </w:rPr>
        <w:t xml:space="preserve"> </w:t>
      </w:r>
      <w:r w:rsidRPr="008607D1">
        <w:rPr>
          <w:color w:val="000000"/>
        </w:rPr>
        <w:t>=</w:t>
      </w:r>
      <w:r w:rsidRPr="008607D1">
        <w:rPr>
          <w:color w:val="000000"/>
          <w:lang w:eastAsia="zh-CN"/>
        </w:rPr>
        <w:t xml:space="preserve"> se x </w:t>
      </w:r>
      <w:proofErr w:type="spellStart"/>
      <w:r w:rsidRPr="008607D1">
        <w:rPr>
          <w:color w:val="000000"/>
        </w:rPr>
        <w:t>t</w:t>
      </w:r>
      <w:r>
        <w:rPr>
          <w:color w:val="000000"/>
          <w:vertAlign w:val="subscript"/>
        </w:rPr>
        <w:t>critical</w:t>
      </w:r>
      <w:proofErr w:type="spellEnd"/>
      <w:r>
        <w:rPr>
          <w:color w:val="000000"/>
          <w:vertAlign w:val="subscript"/>
        </w:rPr>
        <w:t xml:space="preserve">, </w:t>
      </w:r>
      <w:proofErr w:type="spellStart"/>
      <w:r>
        <w:rPr>
          <w:color w:val="000000"/>
          <w:vertAlign w:val="subscript"/>
        </w:rPr>
        <w:t>df</w:t>
      </w:r>
      <w:proofErr w:type="spellEnd"/>
      <w:r>
        <w:rPr>
          <w:color w:val="000000"/>
          <w:vertAlign w:val="subscript"/>
        </w:rPr>
        <w:t>=7600</w:t>
      </w:r>
      <w:r>
        <w:rPr>
          <w:color w:val="000000"/>
        </w:rPr>
        <w:t>=.68 x (</w:t>
      </w:r>
      <w:r>
        <w:t>−</w:t>
      </w:r>
      <w:r>
        <w:rPr>
          <w:color w:val="000000"/>
        </w:rPr>
        <w:t>1.96</w:t>
      </w:r>
      <w:proofErr w:type="gramStart"/>
      <w:r>
        <w:rPr>
          <w:color w:val="000000"/>
        </w:rPr>
        <w:t>)=</w:t>
      </w:r>
      <w:proofErr w:type="gramEnd"/>
      <w:r>
        <w:t xml:space="preserve"> −1.33.  </w:t>
      </w:r>
      <w:r w:rsidR="00C33036">
        <w:t>Given the estimate</w:t>
      </w:r>
      <w:r w:rsidR="00F3030C">
        <w:t>d effect</w:t>
      </w:r>
      <w:r w:rsidR="00C33036">
        <w:t xml:space="preserve"> of </w:t>
      </w:r>
      <w:r w:rsidR="00C33036">
        <w:rPr>
          <w:color w:val="000000"/>
        </w:rPr>
        <w:t xml:space="preserve">−9, </w:t>
      </w:r>
      <w:r>
        <w:rPr>
          <w:color w:val="000000"/>
        </w:rPr>
        <w:t>to invalidate the inference bias must have accounted for −9</w:t>
      </w:r>
      <w:r>
        <w:t>− −</w:t>
      </w:r>
      <w:r>
        <w:rPr>
          <w:color w:val="000000"/>
        </w:rPr>
        <w:t xml:space="preserve">1.33= </w:t>
      </w:r>
      <w:r>
        <w:t>−7.67</w:t>
      </w:r>
      <w:r w:rsidR="00F93B20">
        <w:t xml:space="preserve"> points on the reading achievement measure</w:t>
      </w:r>
      <w:r>
        <w:t xml:space="preserve">, or about </w:t>
      </w:r>
      <w:r>
        <w:rPr>
          <w:color w:val="000000"/>
        </w:rPr>
        <w:t xml:space="preserve">85% of the estimated effect </w:t>
      </w:r>
      <w:r>
        <w:t>(−7.67/−9=.85)</w:t>
      </w:r>
      <w:r>
        <w:rPr>
          <w:color w:val="000000"/>
        </w:rPr>
        <w:t>.</w:t>
      </w:r>
      <w:r w:rsidR="00C33036">
        <w:rPr>
          <w:color w:val="000000"/>
        </w:rPr>
        <w:t xml:space="preserve"> </w:t>
      </w:r>
    </w:p>
    <w:p w:rsidR="0090028A" w:rsidRDefault="005238EA" w:rsidP="005238EA">
      <w:pPr>
        <w:widowControl w:val="0"/>
        <w:spacing w:line="480" w:lineRule="auto"/>
        <w:ind w:firstLine="720"/>
      </w:pPr>
      <w:r>
        <w:rPr>
          <w:color w:val="000000"/>
        </w:rPr>
        <w:t xml:space="preserve">Drawing on the general features of our framework, to invalidate Hong and </w:t>
      </w:r>
      <w:proofErr w:type="spellStart"/>
      <w:r>
        <w:rPr>
          <w:color w:val="000000"/>
        </w:rPr>
        <w:t>Raudenbush’s</w:t>
      </w:r>
      <w:proofErr w:type="spellEnd"/>
      <w:r>
        <w:rPr>
          <w:color w:val="000000"/>
        </w:rPr>
        <w:t xml:space="preserve"> inference of a negative effect of kindergarten retention on achievement one would have to replace 85% of the cases in their study, and assume the limiting condition of zero effect of </w:t>
      </w:r>
      <w:r>
        <w:rPr>
          <w:color w:val="000000"/>
        </w:rPr>
        <w:lastRenderedPageBreak/>
        <w:t xml:space="preserve">retention in the replacement cases.  Applying (15), the replacement cases would come from the counterfactual condition for the observed outcomes. </w:t>
      </w:r>
      <w:r w:rsidR="0071520F">
        <w:t xml:space="preserve">That is, </w:t>
      </w:r>
      <w:r w:rsidR="0071520F">
        <w:rPr>
          <w:color w:val="000000"/>
        </w:rPr>
        <w:t xml:space="preserve">85% of the observed potential outcomes must be </w:t>
      </w:r>
      <w:proofErr w:type="spellStart"/>
      <w:r w:rsidR="00974EB5">
        <w:rPr>
          <w:color w:val="000000"/>
        </w:rPr>
        <w:t>unexchangeable</w:t>
      </w:r>
      <w:proofErr w:type="spellEnd"/>
      <w:r w:rsidR="00974EB5">
        <w:rPr>
          <w:color w:val="000000"/>
        </w:rPr>
        <w:t xml:space="preserve"> with </w:t>
      </w:r>
      <w:r w:rsidR="0071520F">
        <w:rPr>
          <w:color w:val="000000"/>
        </w:rPr>
        <w:t xml:space="preserve">the unobserved counterfactual potential outcomes such that it is necessary to replace those 85% with the counterfactual potential outcomes to make an inference in this sample. </w:t>
      </w:r>
      <w:r w:rsidR="002F3AB2">
        <w:t>Note that this replacement must occur even after observed cases have been conditioned on background characteristics, school membership, and pretests used to define comparable groups.</w:t>
      </w:r>
    </w:p>
    <w:p w:rsidR="0071520F" w:rsidRDefault="002F3AB2" w:rsidP="0071520F">
      <w:pPr>
        <w:widowControl w:val="0"/>
        <w:spacing w:line="480" w:lineRule="auto"/>
        <w:ind w:firstLine="720"/>
        <w:rPr>
          <w:color w:val="000000"/>
        </w:rPr>
      </w:pPr>
      <w:r>
        <w:rPr>
          <w:color w:val="000000"/>
        </w:rPr>
        <w:t xml:space="preserve">Figure 4 shows the replacement distributions using a procedure similar to that used to generate Figure 2, although the gray bars in Figure 4 represent </w:t>
      </w:r>
      <w:r w:rsidRPr="00FF0869">
        <w:rPr>
          <w:i/>
          <w:color w:val="000000"/>
        </w:rPr>
        <w:t>counterfactual</w:t>
      </w:r>
      <w:r>
        <w:rPr>
          <w:color w:val="000000"/>
        </w:rPr>
        <w:t xml:space="preserve"> data necessary to </w:t>
      </w:r>
      <w:r w:rsidR="005804C1">
        <w:rPr>
          <w:color w:val="000000"/>
        </w:rPr>
        <w:t xml:space="preserve">replace </w:t>
      </w:r>
      <w:r w:rsidR="003E3482">
        <w:rPr>
          <w:color w:val="000000"/>
        </w:rPr>
        <w:t>8</w:t>
      </w:r>
      <w:r w:rsidR="005804C1">
        <w:rPr>
          <w:color w:val="000000"/>
        </w:rPr>
        <w:t xml:space="preserve">5% of the cases to </w:t>
      </w:r>
      <w:r>
        <w:rPr>
          <w:color w:val="000000"/>
        </w:rPr>
        <w:t>invalidate the inference (</w:t>
      </w:r>
      <w:r>
        <w:t>the difference between the retained and promoted groups after replacement is -1.25, p =.064).</w:t>
      </w:r>
      <w:r>
        <w:rPr>
          <w:color w:val="000000"/>
        </w:rPr>
        <w:t xml:space="preserve">  </w:t>
      </w:r>
      <w:r>
        <w:t xml:space="preserve">The </w:t>
      </w:r>
      <w:r w:rsidR="0090028A">
        <w:t xml:space="preserve">left side of </w:t>
      </w:r>
      <w:r>
        <w:t xml:space="preserve">Figure </w:t>
      </w:r>
      <w:r w:rsidR="003E3482">
        <w:t xml:space="preserve">2 </w:t>
      </w:r>
      <w:r>
        <w:t xml:space="preserve">shows the  7.2 point advantage the counterfactual replacement cases </w:t>
      </w:r>
      <w:r w:rsidR="003E3482">
        <w:t xml:space="preserve">would </w:t>
      </w:r>
      <w:r>
        <w:t xml:space="preserve">have over the students who were actually retained </w:t>
      </w:r>
      <w:r w:rsidRPr="007F13A3">
        <w:rPr>
          <w:position w:val="-10"/>
          <w:sz w:val="20"/>
          <w:lang w:val="de-DE"/>
        </w:rPr>
        <w:object w:dxaOrig="300" w:dyaOrig="320">
          <v:shape id="_x0000_i1068" type="#_x0000_t75" style="width:15pt;height:15.75pt" o:ole="" fillcolor="window">
            <v:imagedata r:id="rId66" o:title=""/>
          </v:shape>
          <o:OLEObject Type="Embed" ProgID="Equation.DSMT4" ShapeID="_x0000_i1068" DrawAspect="Content" ObjectID="_1478976185" r:id="rId67"/>
        </w:object>
      </w:r>
      <w:proofErr w:type="spellStart"/>
      <w:r>
        <w:rPr>
          <w:i/>
          <w:vertAlign w:val="superscript"/>
        </w:rPr>
        <w:t>retained</w:t>
      </w:r>
      <w:r>
        <w:t>|x</w:t>
      </w:r>
      <w:proofErr w:type="spellEnd"/>
      <w:r w:rsidRPr="00CC2489">
        <w:rPr>
          <w:i/>
        </w:rPr>
        <w:t>=</w:t>
      </w:r>
      <w:r>
        <w:rPr>
          <w:i/>
        </w:rPr>
        <w:t>promoted</w:t>
      </w:r>
      <w:r>
        <w:t>−</w:t>
      </w:r>
      <w:r w:rsidRPr="007F13A3">
        <w:rPr>
          <w:position w:val="-10"/>
          <w:sz w:val="20"/>
          <w:lang w:val="de-DE"/>
        </w:rPr>
        <w:object w:dxaOrig="220" w:dyaOrig="300">
          <v:shape id="_x0000_i1069" type="#_x0000_t75" style="width:11.25pt;height:15pt" o:ole="" fillcolor="window">
            <v:imagedata r:id="rId68" o:title=""/>
          </v:shape>
          <o:OLEObject Type="Embed" ProgID="Equation.DSMT4" ShapeID="_x0000_i1069" DrawAspect="Content" ObjectID="_1478976186" r:id="rId69"/>
        </w:object>
      </w:r>
      <w:proofErr w:type="spellStart"/>
      <w:r>
        <w:rPr>
          <w:i/>
          <w:vertAlign w:val="superscript"/>
        </w:rPr>
        <w:t>retained</w:t>
      </w:r>
      <w:r>
        <w:t>|x</w:t>
      </w:r>
      <w:proofErr w:type="spellEnd"/>
      <w:r w:rsidRPr="00CC2489">
        <w:rPr>
          <w:i/>
        </w:rPr>
        <w:t>=</w:t>
      </w:r>
      <w:r>
        <w:rPr>
          <w:i/>
        </w:rPr>
        <w:t>retained</w:t>
      </w:r>
      <w:r>
        <w:t xml:space="preserve">= 52.2−45.0=7.2).  </w:t>
      </w:r>
      <w:r w:rsidR="00C62B54">
        <w:t xml:space="preserve">This shift of </w:t>
      </w:r>
      <w:r>
        <w:t xml:space="preserve">7.2 </w:t>
      </w:r>
      <w:r w:rsidR="00C62B54">
        <w:t xml:space="preserve">points works against the </w:t>
      </w:r>
      <w:r>
        <w:t>inference by shifting the retained distribution to the right, towards the promoted students</w:t>
      </w:r>
      <w:r w:rsidR="00C62B54">
        <w:t xml:space="preserve"> (the promoted students were shifted less than the retained students in order to preserve the overall mean)</w:t>
      </w:r>
      <w:r>
        <w:t xml:space="preserve">. </w:t>
      </w:r>
      <w:proofErr w:type="gramStart"/>
      <w:r w:rsidR="00031F73">
        <w:rPr>
          <w:vertAlign w:val="superscript"/>
        </w:rPr>
        <w:t>viii</w:t>
      </w:r>
      <w:proofErr w:type="gramEnd"/>
    </w:p>
    <w:p w:rsidR="00491501" w:rsidRDefault="00491501" w:rsidP="009357F8">
      <w:pPr>
        <w:widowControl w:val="0"/>
        <w:spacing w:line="480" w:lineRule="auto"/>
        <w:ind w:firstLine="720"/>
      </w:pPr>
    </w:p>
    <w:p w:rsidR="00AA784C" w:rsidRDefault="00AA784C" w:rsidP="00073B98">
      <w:pPr>
        <w:widowControl w:val="0"/>
        <w:pBdr>
          <w:top w:val="single" w:sz="6" w:space="1" w:color="auto"/>
          <w:bottom w:val="single" w:sz="6" w:space="1" w:color="auto"/>
        </w:pBdr>
        <w:ind w:firstLine="720"/>
        <w:jc w:val="center"/>
        <w:rPr>
          <w:color w:val="000000"/>
        </w:rPr>
      </w:pPr>
      <w:r>
        <w:rPr>
          <w:color w:val="000000"/>
        </w:rPr>
        <w:t>Insert Figure 4 here</w:t>
      </w:r>
    </w:p>
    <w:p w:rsidR="00AA784C" w:rsidRDefault="00AA784C" w:rsidP="00073B98">
      <w:pPr>
        <w:widowControl w:val="0"/>
        <w:autoSpaceDE w:val="0"/>
        <w:autoSpaceDN w:val="0"/>
        <w:adjustRightInd w:val="0"/>
        <w:rPr>
          <w:kern w:val="24"/>
        </w:rPr>
      </w:pPr>
    </w:p>
    <w:p w:rsidR="005804C1" w:rsidRDefault="005804C1" w:rsidP="00AA784C">
      <w:pPr>
        <w:widowControl w:val="0"/>
        <w:spacing w:line="480" w:lineRule="auto"/>
        <w:ind w:firstLine="720"/>
      </w:pPr>
      <w:r>
        <w:t xml:space="preserve">  Our analysis appeals to the intuition of those who consider what would have happened to the promoted children if they had been retained, as these are exactly the RCM potential outcomes on which our analysis is based. Consider test scores of a set of children who were retained that are considerably lower (9 points) than others who were candidates for retention but who were in fact promoted.  No doubt some of the difference is due to advantages the </w:t>
      </w:r>
      <w:r>
        <w:lastRenderedPageBreak/>
        <w:t>comparable others had before being promoted.  But now to believe that retention did not have an effect one must believe that 85% of those comparable others would have enjoyed most (7.2) of their advantages whether or not they had been retained.  This is a difference of more than a 1/3 of a year’s growth.</w:t>
      </w:r>
      <w:r w:rsidR="00031F73">
        <w:t xml:space="preserve"> </w:t>
      </w:r>
      <w:r w:rsidR="00031F73">
        <w:rPr>
          <w:vertAlign w:val="superscript"/>
        </w:rPr>
        <w:t>ix</w:t>
      </w:r>
      <w:r>
        <w:t xml:space="preserve"> Although interpretations will vary, our framework allows us to interpret Hong and </w:t>
      </w:r>
      <w:proofErr w:type="spellStart"/>
      <w:r>
        <w:t>Raudenbush’s</w:t>
      </w:r>
      <w:proofErr w:type="spellEnd"/>
      <w:r>
        <w:t xml:space="preserve"> inference in terms of the ensemble of factors that might differentiate retained students from comparable promoted students.  In this sense we quantify the robustness of the inference in terms of the experiences of promoted and retained students and as might be observed by educators in their daily practice.</w:t>
      </w:r>
    </w:p>
    <w:p w:rsidR="00AA784C" w:rsidRDefault="00AA784C" w:rsidP="00AA784C">
      <w:pPr>
        <w:widowControl w:val="0"/>
        <w:spacing w:line="480" w:lineRule="auto"/>
        <w:ind w:firstLine="720"/>
      </w:pPr>
      <w:r>
        <w:rPr>
          <w:color w:val="000000"/>
        </w:rPr>
        <w:t xml:space="preserve">We </w:t>
      </w:r>
      <w:r w:rsidR="00F67551">
        <w:rPr>
          <w:color w:val="000000"/>
        </w:rPr>
        <w:t xml:space="preserve">now </w:t>
      </w:r>
      <w:r>
        <w:rPr>
          <w:color w:val="000000"/>
        </w:rPr>
        <w:t xml:space="preserve">compare the robustness of Hong and </w:t>
      </w:r>
      <w:proofErr w:type="spellStart"/>
      <w:r>
        <w:rPr>
          <w:color w:val="000000"/>
        </w:rPr>
        <w:t>Raudenbush’s</w:t>
      </w:r>
      <w:proofErr w:type="spellEnd"/>
      <w:r>
        <w:rPr>
          <w:color w:val="000000"/>
        </w:rPr>
        <w:t xml:space="preserve"> (2005) inference with the robustness of inferences from two other observational studies: Morgan’s (2001) inference of a Catholic school effect on achievement (building on Coleman et al., 1982), and </w:t>
      </w:r>
      <w:r>
        <w:t>Hill, Rowan and Ball’s (2005) inference of the effects of a teacher’s content knowledge on student math achievement. Hill et al.’s focus on teacher knowledge offers an important complement to attention to school or district level policies such as retention because differences among teachers are important predictors of achievement (Nye, Konstantopoulos &amp; Hedges, 2004).</w:t>
      </w:r>
    </w:p>
    <w:p w:rsidR="00574837" w:rsidRDefault="00AA784C" w:rsidP="00574837">
      <w:pPr>
        <w:widowControl w:val="0"/>
        <w:spacing w:after="120" w:line="480" w:lineRule="auto"/>
        <w:ind w:firstLine="720"/>
      </w:pPr>
      <w:r>
        <w:rPr>
          <w:color w:val="000000"/>
        </w:rPr>
        <w:t xml:space="preserve">As shown in Table 2, </w:t>
      </w:r>
      <w:r>
        <w:t xml:space="preserve">Morgan’s (2001) inference </w:t>
      </w:r>
      <w:r w:rsidR="00574837">
        <w:t xml:space="preserve">and Hill et al.’s inference </w:t>
      </w:r>
      <w:r>
        <w:t xml:space="preserve">would not be valid if </w:t>
      </w:r>
      <w:r w:rsidR="00574837">
        <w:t xml:space="preserve">slightly more than a third </w:t>
      </w:r>
      <w:r>
        <w:rPr>
          <w:color w:val="000000"/>
        </w:rPr>
        <w:t>of the</w:t>
      </w:r>
      <w:r w:rsidR="00574837">
        <w:rPr>
          <w:color w:val="000000"/>
        </w:rPr>
        <w:t>ir</w:t>
      </w:r>
      <w:r>
        <w:rPr>
          <w:color w:val="000000"/>
        </w:rPr>
        <w:t xml:space="preserve"> </w:t>
      </w:r>
      <w:r>
        <w:t>estimate</w:t>
      </w:r>
      <w:r w:rsidR="00574837">
        <w:t>s</w:t>
      </w:r>
      <w:r>
        <w:t xml:space="preserve"> were due to bias. </w:t>
      </w:r>
      <w:r w:rsidR="00574837">
        <w:t xml:space="preserve">By our measure, Hong and </w:t>
      </w:r>
      <w:proofErr w:type="spellStart"/>
      <w:r w:rsidR="00574837">
        <w:t>Raudenbush’s</w:t>
      </w:r>
      <w:proofErr w:type="spellEnd"/>
      <w:r w:rsidR="00574837">
        <w:t xml:space="preserve"> inference is more robust than that of Morgan or Hill et al.  Again, this is not a final proclamation regarding policy.  In choosing appropriate action, policymakers would have to consider the relative return on investments of policies related to retention, incentives for students to attend Catholic schools, and teachers’ acquisition of knowledge (e.g., through professional development).  </w:t>
      </w:r>
      <w:r w:rsidR="00C62B54">
        <w:t xml:space="preserve">Furthermore, </w:t>
      </w:r>
      <w:r w:rsidR="00574837">
        <w:t xml:space="preserve">the return on investment is not the only contingency, as decision-makers should consider the elements of the study designs already used to reduce bias.  For </w:t>
      </w:r>
      <w:r w:rsidR="00574837">
        <w:lastRenderedPageBreak/>
        <w:t xml:space="preserve">example, we call attention to whether the observational studies controlled for pretests (as did Hong and Raudenbush as well as Morgan, 2001) which have recently been found to be critical in reducing bias in educational studies (e.g., Shadish, Clark &amp; Steiner, 2008; Steiner et al., 2010, 2011).  </w:t>
      </w:r>
    </w:p>
    <w:p w:rsidR="00AA784C" w:rsidRDefault="00AA784C" w:rsidP="005F1173">
      <w:pPr>
        <w:widowControl w:val="0"/>
        <w:pBdr>
          <w:top w:val="single" w:sz="6" w:space="1" w:color="auto"/>
          <w:bottom w:val="single" w:sz="6" w:space="1" w:color="auto"/>
        </w:pBdr>
        <w:spacing w:after="200"/>
        <w:ind w:firstLine="720"/>
        <w:jc w:val="center"/>
        <w:rPr>
          <w:color w:val="000000"/>
        </w:rPr>
      </w:pPr>
      <w:r>
        <w:rPr>
          <w:color w:val="000000"/>
        </w:rPr>
        <w:t>Insert Table 2 here</w:t>
      </w:r>
    </w:p>
    <w:p w:rsidR="00AA784C" w:rsidRDefault="00C62B54" w:rsidP="00073B98">
      <w:pPr>
        <w:widowControl w:val="0"/>
        <w:spacing w:after="120" w:line="480" w:lineRule="auto"/>
        <w:jc w:val="center"/>
      </w:pPr>
      <w:r>
        <w:rPr>
          <w:i/>
        </w:rPr>
        <w:t>Expanded</w:t>
      </w:r>
      <w:r w:rsidR="00A03C46">
        <w:rPr>
          <w:i/>
        </w:rPr>
        <w:t xml:space="preserve"> the Details of our Framework </w:t>
      </w:r>
    </w:p>
    <w:p w:rsidR="00AA784C" w:rsidRDefault="00904E62" w:rsidP="00AA784C">
      <w:pPr>
        <w:widowControl w:val="0"/>
        <w:spacing w:line="480" w:lineRule="auto"/>
        <w:ind w:firstLine="360"/>
      </w:pPr>
      <w:proofErr w:type="gramStart"/>
      <w:r>
        <w:rPr>
          <w:i/>
        </w:rPr>
        <w:t>Choosing a threshold relative to transaction costs.</w:t>
      </w:r>
      <w:proofErr w:type="gramEnd"/>
      <w:r>
        <w:rPr>
          <w:i/>
        </w:rPr>
        <w:t xml:space="preserve"> </w:t>
      </w:r>
      <w:r w:rsidR="00995AA2">
        <w:t>T</w:t>
      </w:r>
      <w:r w:rsidR="00AA784C">
        <w:t xml:space="preserve">he general framework we have proposed can be implemented with any threshold.  </w:t>
      </w:r>
      <w:r w:rsidR="00995AA2">
        <w:t>But g</w:t>
      </w:r>
      <w:r w:rsidR="00AA784C">
        <w:t>iven th</w:t>
      </w:r>
      <w:r w:rsidR="00574837">
        <w:t xml:space="preserve">at educational research should be </w:t>
      </w:r>
      <w:r w:rsidR="00AA784C">
        <w:t xml:space="preserve">pragmatic, the threshold might depend on the size of the investment needed </w:t>
      </w:r>
      <w:r w:rsidR="00C62B54">
        <w:t>to manipulate policy or practice</w:t>
      </w:r>
      <w:r w:rsidR="00AA784C">
        <w:t xml:space="preserve">.  Individuals </w:t>
      </w:r>
      <w:r w:rsidR="00C62B54">
        <w:t xml:space="preserve">or families </w:t>
      </w:r>
      <w:r w:rsidR="00AA784C">
        <w:t xml:space="preserve">might be comfortable with a lower threshold than policy-makers considering diverting large resources to change the experiences of many people.  </w:t>
      </w:r>
      <w:r w:rsidR="00995AA2">
        <w:t xml:space="preserve">Therefore, </w:t>
      </w:r>
      <w:r w:rsidR="00AA784C">
        <w:t>the following is a guide for increasing thresholds based on the transaction costs of program change.</w:t>
      </w:r>
    </w:p>
    <w:p w:rsidR="00AA784C" w:rsidRDefault="00AA784C" w:rsidP="00AF1B18">
      <w:pPr>
        <w:numPr>
          <w:ilvl w:val="0"/>
          <w:numId w:val="18"/>
        </w:numPr>
      </w:pPr>
      <w:r>
        <w:t>Changing beliefs, without a corresponding change in action.</w:t>
      </w:r>
    </w:p>
    <w:p w:rsidR="00AA784C" w:rsidRDefault="00AA784C" w:rsidP="00AF1B18">
      <w:pPr>
        <w:numPr>
          <w:ilvl w:val="0"/>
          <w:numId w:val="18"/>
        </w:numPr>
      </w:pPr>
      <w:r>
        <w:t>Changing action for an individual</w:t>
      </w:r>
      <w:r w:rsidR="00995AA2">
        <w:t xml:space="preserve"> (or family)</w:t>
      </w:r>
    </w:p>
    <w:p w:rsidR="00AA784C" w:rsidRDefault="00AA784C" w:rsidP="00AF1B18">
      <w:pPr>
        <w:numPr>
          <w:ilvl w:val="0"/>
          <w:numId w:val="18"/>
        </w:numPr>
      </w:pPr>
      <w:r>
        <w:t>Increasing investments in an existing program.</w:t>
      </w:r>
    </w:p>
    <w:p w:rsidR="00AA784C" w:rsidRDefault="00AA784C" w:rsidP="00AF1B18">
      <w:pPr>
        <w:numPr>
          <w:ilvl w:val="0"/>
          <w:numId w:val="18"/>
        </w:numPr>
      </w:pPr>
      <w:r>
        <w:t>Initial investment in a pilot program where none exists.</w:t>
      </w:r>
    </w:p>
    <w:p w:rsidR="00AF1B18" w:rsidRDefault="00AA784C" w:rsidP="00AF1B18">
      <w:pPr>
        <w:numPr>
          <w:ilvl w:val="0"/>
          <w:numId w:val="18"/>
        </w:numPr>
        <w:spacing w:after="120"/>
      </w:pPr>
      <w:r>
        <w:t xml:space="preserve">Dismantling an existing program and replacing it with a new program. </w:t>
      </w:r>
    </w:p>
    <w:p w:rsidR="00AA784C" w:rsidRDefault="00AA784C" w:rsidP="00AF1B18">
      <w:pPr>
        <w:spacing w:after="120"/>
        <w:ind w:left="720"/>
      </w:pPr>
      <w:r>
        <w:t xml:space="preserve"> </w:t>
      </w:r>
    </w:p>
    <w:p w:rsidR="00AA784C" w:rsidRDefault="00AA784C" w:rsidP="00AA784C">
      <w:pPr>
        <w:widowControl w:val="0"/>
        <w:spacing w:line="480" w:lineRule="auto"/>
        <w:ind w:firstLine="720"/>
      </w:pPr>
      <w:r>
        <w:t xml:space="preserve">Note that the first level does not even constitute a change in action.  In this sense it is below a pragmatic threshold for action. </w:t>
      </w:r>
      <w:r w:rsidR="00227B07">
        <w:t>The value</w:t>
      </w:r>
      <w:r w:rsidR="00574837">
        <w:t>s</w:t>
      </w:r>
      <w:r w:rsidR="00227B07">
        <w:t xml:space="preserve"> of the t</w:t>
      </w:r>
      <w:r>
        <w:t xml:space="preserve">hresholds </w:t>
      </w:r>
      <w:r w:rsidR="00227B07">
        <w:t xml:space="preserve">needed to invalidate an inference </w:t>
      </w:r>
      <w:r>
        <w:t xml:space="preserve">increase from levels 2 through 5 as </w:t>
      </w:r>
      <w:r w:rsidR="00574837">
        <w:t xml:space="preserve">the </w:t>
      </w:r>
      <w:r>
        <w:t>action</w:t>
      </w:r>
      <w:r w:rsidR="00574837">
        <w:t>s require</w:t>
      </w:r>
      <w:r>
        <w:t xml:space="preserve"> </w:t>
      </w:r>
      <w:r w:rsidR="00574837">
        <w:t xml:space="preserve">greater </w:t>
      </w:r>
      <w:r>
        <w:t>resources</w:t>
      </w:r>
      <w:r w:rsidR="00574837">
        <w:t xml:space="preserve">. An inference should be more robust </w:t>
      </w:r>
      <w:r>
        <w:t xml:space="preserve">to convince a policy maker to initiate a whole scale change in policy than to convince a family to choose a particular treatment. </w:t>
      </w:r>
    </w:p>
    <w:p w:rsidR="00AA784C" w:rsidRDefault="00904E62" w:rsidP="00AA784C">
      <w:pPr>
        <w:widowControl w:val="0"/>
        <w:spacing w:line="480" w:lineRule="auto"/>
        <w:ind w:firstLine="720"/>
      </w:pPr>
      <w:proofErr w:type="gramStart"/>
      <w:r>
        <w:rPr>
          <w:i/>
        </w:rPr>
        <w:t>Non-zero null hypotheses.</w:t>
      </w:r>
      <w:proofErr w:type="gramEnd"/>
      <w:r>
        <w:rPr>
          <w:i/>
        </w:rPr>
        <w:t xml:space="preserve"> </w:t>
      </w:r>
      <w:r w:rsidR="00AA784C">
        <w:t xml:space="preserve">For Hong and </w:t>
      </w:r>
      <w:proofErr w:type="spellStart"/>
      <w:r w:rsidR="00AA784C">
        <w:t>Raudenbush’s</w:t>
      </w:r>
      <w:proofErr w:type="spellEnd"/>
      <w:r w:rsidR="00AA784C">
        <w:t xml:space="preserve"> inference of a negative effect of retention on achievement, consider a null hypothesis adequate for increasing investment in an </w:t>
      </w:r>
      <w:r w:rsidR="00AA784C">
        <w:lastRenderedPageBreak/>
        <w:t>existing program. For example, define the threshold by δ</w:t>
      </w:r>
      <w:r w:rsidR="00AA784C">
        <w:rPr>
          <w:u w:val="single"/>
        </w:rPr>
        <w:t>&gt;</w:t>
      </w:r>
      <w:r w:rsidR="00AA784C" w:rsidRPr="006A0D14">
        <w:rPr>
          <w:color w:val="000000"/>
        </w:rPr>
        <w:t xml:space="preserve"> </w:t>
      </w:r>
      <w:r w:rsidR="00AA784C">
        <w:rPr>
          <w:color w:val="000000"/>
        </w:rPr>
        <w:t>−</w:t>
      </w:r>
      <w:r w:rsidR="00AA784C">
        <w:t xml:space="preserve">6, where 6 units represents about ¼ of a year of growth, slightly less than half a standard deviation on </w:t>
      </w:r>
      <w:r w:rsidR="00574837">
        <w:t xml:space="preserve">Hong and </w:t>
      </w:r>
      <w:proofErr w:type="spellStart"/>
      <w:r w:rsidR="00574837">
        <w:t>Ruadenbush’s</w:t>
      </w:r>
      <w:proofErr w:type="spellEnd"/>
      <w:r w:rsidR="00574837">
        <w:t xml:space="preserve"> </w:t>
      </w:r>
      <w:r w:rsidR="00AA784C">
        <w:t>outcome. For a null hypothesis defined by δ</w:t>
      </w:r>
      <w:r w:rsidR="00AA784C">
        <w:rPr>
          <w:u w:val="single"/>
        </w:rPr>
        <w:t>&gt;</w:t>
      </w:r>
      <w:r w:rsidR="00AA784C" w:rsidRPr="00C95076">
        <w:t xml:space="preserve"> </w:t>
      </w:r>
      <w:r w:rsidR="00AA784C">
        <w:t xml:space="preserve">−6, the threshold for statistical significance is </w:t>
      </w:r>
      <w:r w:rsidR="00574837">
        <w:t>(</w:t>
      </w:r>
      <w:r w:rsidR="00AA784C" w:rsidRPr="00BA12F2">
        <w:rPr>
          <w:color w:val="000000"/>
          <w:lang w:eastAsia="zh-CN"/>
        </w:rPr>
        <w:t xml:space="preserve">se x </w:t>
      </w:r>
      <w:proofErr w:type="spellStart"/>
      <w:r w:rsidR="00AA784C" w:rsidRPr="00BA12F2">
        <w:rPr>
          <w:color w:val="000000"/>
        </w:rPr>
        <w:t>t</w:t>
      </w:r>
      <w:r w:rsidR="00AA784C">
        <w:rPr>
          <w:color w:val="000000"/>
          <w:vertAlign w:val="subscript"/>
        </w:rPr>
        <w:t>critical</w:t>
      </w:r>
      <w:proofErr w:type="spellEnd"/>
      <w:r w:rsidR="00AA784C">
        <w:rPr>
          <w:color w:val="000000"/>
          <w:vertAlign w:val="subscript"/>
        </w:rPr>
        <w:t xml:space="preserve">, </w:t>
      </w:r>
      <w:proofErr w:type="spellStart"/>
      <w:r w:rsidR="00AA784C">
        <w:rPr>
          <w:color w:val="000000"/>
          <w:vertAlign w:val="subscript"/>
        </w:rPr>
        <w:t>df</w:t>
      </w:r>
      <w:proofErr w:type="spellEnd"/>
      <w:r w:rsidR="00AA784C">
        <w:rPr>
          <w:color w:val="000000"/>
          <w:vertAlign w:val="subscript"/>
        </w:rPr>
        <w:t>=7639</w:t>
      </w:r>
      <w:proofErr w:type="gramStart"/>
      <w:r w:rsidR="00574837">
        <w:rPr>
          <w:color w:val="000000"/>
        </w:rPr>
        <w:t>)=</w:t>
      </w:r>
      <w:proofErr w:type="gramEnd"/>
      <w:r w:rsidR="00AA784C">
        <w:rPr>
          <w:color w:val="000000"/>
        </w:rPr>
        <w:t>.68 x (−</w:t>
      </w:r>
      <w:r w:rsidR="00AA784C" w:rsidRPr="00BA12F2">
        <w:rPr>
          <w:color w:val="000000"/>
        </w:rPr>
        <w:t>1.645)=</w:t>
      </w:r>
      <w:r w:rsidR="00AA784C" w:rsidRPr="008A11C7">
        <w:rPr>
          <w:color w:val="000000"/>
        </w:rPr>
        <w:t xml:space="preserve"> </w:t>
      </w:r>
      <w:r w:rsidR="00AA784C">
        <w:rPr>
          <w:color w:val="000000"/>
        </w:rPr>
        <w:t>−</w:t>
      </w:r>
      <w:r w:rsidR="00AA784C" w:rsidRPr="00BA12F2">
        <w:t>1.12</w:t>
      </w:r>
      <w:r w:rsidR="00AA784C">
        <w:t xml:space="preserve"> (using a one tailed test).  </w:t>
      </w:r>
      <w:r w:rsidR="00574837">
        <w:t>The</w:t>
      </w:r>
      <w:r w:rsidR="00AA784C">
        <w:t xml:space="preserve">refore </w:t>
      </w:r>
      <w:r w:rsidR="00AA784C">
        <w:rPr>
          <w:color w:val="000000"/>
        </w:rPr>
        <w:t>δ</w:t>
      </w:r>
      <w:r w:rsidR="00AA784C" w:rsidRPr="005A076A">
        <w:rPr>
          <w:color w:val="000000"/>
          <w:vertAlign w:val="superscript"/>
        </w:rPr>
        <w:t>#</w:t>
      </w:r>
      <w:r w:rsidR="00AA784C">
        <w:rPr>
          <w:color w:val="000000"/>
          <w:vertAlign w:val="superscript"/>
        </w:rPr>
        <w:t xml:space="preserve"> </w:t>
      </w:r>
      <w:r w:rsidR="00AA784C" w:rsidRPr="008607D1">
        <w:rPr>
          <w:color w:val="000000"/>
        </w:rPr>
        <w:t>=</w:t>
      </w:r>
      <w:r w:rsidR="00AA784C">
        <w:rPr>
          <w:color w:val="000000"/>
        </w:rPr>
        <w:t xml:space="preserve"> −6−1.12=</w:t>
      </w:r>
      <w:r w:rsidR="00AA784C">
        <w:t>−</w:t>
      </w:r>
      <w:r w:rsidR="00AA784C">
        <w:rPr>
          <w:color w:val="000000"/>
        </w:rPr>
        <w:t xml:space="preserve">7.12, and </w:t>
      </w:r>
      <w:r w:rsidR="00AA784C">
        <w:t>1−</w:t>
      </w:r>
      <w:r w:rsidR="00AA784C">
        <w:rPr>
          <w:i/>
        </w:rPr>
        <w:t xml:space="preserve"> </w:t>
      </w:r>
      <w:r w:rsidR="00AA784C">
        <w:rPr>
          <w:color w:val="000000"/>
        </w:rPr>
        <w:t>δ</w:t>
      </w:r>
      <w:r w:rsidR="00AA784C">
        <w:rPr>
          <w:vertAlign w:val="superscript"/>
        </w:rPr>
        <w:t xml:space="preserve"> #</w:t>
      </w:r>
      <w:r w:rsidR="00AA784C">
        <w:t>/</w:t>
      </w:r>
      <w:r w:rsidR="00AA784C" w:rsidRPr="008A0275">
        <w:rPr>
          <w:position w:val="-6"/>
          <w:sz w:val="20"/>
          <w:lang w:val="de-DE"/>
        </w:rPr>
        <w:object w:dxaOrig="220" w:dyaOrig="340">
          <v:shape id="_x0000_i1070" type="#_x0000_t75" style="width:11.25pt;height:17.25pt" o:ole="" fillcolor="window">
            <v:imagedata r:id="rId64" o:title=""/>
          </v:shape>
          <o:OLEObject Type="Embed" ProgID="Equation.DSMT4" ShapeID="_x0000_i1070" DrawAspect="Content" ObjectID="_1478976187" r:id="rId70"/>
        </w:object>
      </w:r>
      <w:r w:rsidR="00AA784C">
        <w:rPr>
          <w:color w:val="000000"/>
        </w:rPr>
        <w:t>=1− (−7.12/−9)=.21</w:t>
      </w:r>
      <w:r w:rsidR="00AA784C">
        <w:rPr>
          <w:color w:val="000000"/>
          <w:lang w:eastAsia="zh-CN"/>
        </w:rPr>
        <w:t>.</w:t>
      </w:r>
      <w:r w:rsidR="00AA784C">
        <w:rPr>
          <w:color w:val="000000"/>
        </w:rPr>
        <w:t xml:space="preserve"> </w:t>
      </w:r>
      <w:r w:rsidR="00574837">
        <w:t xml:space="preserve">The result is that </w:t>
      </w:r>
      <w:r w:rsidR="00AA784C">
        <w:rPr>
          <w:color w:val="000000"/>
        </w:rPr>
        <w:t xml:space="preserve">21% of the </w:t>
      </w:r>
      <w:r w:rsidR="00AA784C" w:rsidRPr="0034091A">
        <w:t xml:space="preserve">estimated kindergarten retention effect </w:t>
      </w:r>
      <w:r w:rsidR="00AA784C">
        <w:rPr>
          <w:color w:val="000000"/>
        </w:rPr>
        <w:t xml:space="preserve">would have to be due to </w:t>
      </w:r>
      <w:r w:rsidR="00574837">
        <w:rPr>
          <w:color w:val="000000"/>
        </w:rPr>
        <w:t xml:space="preserve">differences between the students before being retained or promoted </w:t>
      </w:r>
      <w:r w:rsidR="00AA784C">
        <w:rPr>
          <w:color w:val="000000"/>
        </w:rPr>
        <w:t>to invalidate the inference that retention has a</w:t>
      </w:r>
      <w:r w:rsidR="00065EC0">
        <w:rPr>
          <w:color w:val="000000"/>
        </w:rPr>
        <w:t>n effect using a threshold of −6</w:t>
      </w:r>
      <w:r w:rsidR="00574837">
        <w:rPr>
          <w:color w:val="000000"/>
        </w:rPr>
        <w:t xml:space="preserve">. Thus </w:t>
      </w:r>
      <w:r w:rsidR="00AA784C">
        <w:t>quantifying the robustness of an inference for non-zero hypotheses can represent uncertainty about qualitative policy decisions based on fixed thresholds.</w:t>
      </w:r>
    </w:p>
    <w:p w:rsidR="00122A1C" w:rsidRDefault="00904E62" w:rsidP="00122A1C">
      <w:pPr>
        <w:spacing w:line="480" w:lineRule="auto"/>
        <w:ind w:firstLine="720"/>
      </w:pPr>
      <w:proofErr w:type="gramStart"/>
      <w:r w:rsidRPr="00904E62">
        <w:rPr>
          <w:i/>
        </w:rPr>
        <w:t>Failure to reject the null</w:t>
      </w:r>
      <w:r w:rsidR="00BC1749">
        <w:rPr>
          <w:i/>
        </w:rPr>
        <w:t xml:space="preserve"> hypothesis</w:t>
      </w:r>
      <w:r w:rsidRPr="00904E62">
        <w:rPr>
          <w:i/>
        </w:rPr>
        <w:t xml:space="preserve"> when in fact the null is false</w:t>
      </w:r>
      <w:r>
        <w:t>.</w:t>
      </w:r>
      <w:proofErr w:type="gramEnd"/>
      <w:r>
        <w:t xml:space="preserve"> </w:t>
      </w:r>
      <w:r w:rsidR="00CB3209">
        <w:t>We have focused on the extent of bias necessary to create a type I error (rejecting the null hypothesis when in fact the null hypothesis is true).  It is important note, however, that bias could also hide a substantively important negative effect</w:t>
      </w:r>
      <w:r w:rsidR="00122A1C">
        <w:t xml:space="preserve">.  This is </w:t>
      </w:r>
      <w:r w:rsidR="00975E94">
        <w:t xml:space="preserve">an example of </w:t>
      </w:r>
      <w:r w:rsidR="00CB3209">
        <w:t>type II error, failure to reject the null when in fa</w:t>
      </w:r>
      <w:r w:rsidR="00122A1C">
        <w:t>ct the null hypothesis is false</w:t>
      </w:r>
      <w:r w:rsidR="00CB3209">
        <w:t xml:space="preserve">.  </w:t>
      </w:r>
      <w:r w:rsidR="00122A1C">
        <w:t xml:space="preserve">Critically, from an ethical or policy perspective type II errors may require different thresholds than type I errors. For example, in medical trials the threshold for discontinuing a trial </w:t>
      </w:r>
      <w:r w:rsidR="00F92220">
        <w:t xml:space="preserve">due to potential harm is not as conservative as criteria </w:t>
      </w:r>
      <w:r w:rsidR="00065EC0">
        <w:t xml:space="preserve">used to infer a positive treatment effect </w:t>
      </w:r>
      <w:r w:rsidR="00122A1C">
        <w:t>(Feder</w:t>
      </w:r>
      <w:r w:rsidR="00F92220">
        <w:t>al Register, 1998, page 49592).</w:t>
      </w:r>
    </w:p>
    <w:p w:rsidR="00AB1587" w:rsidRDefault="00122A1C" w:rsidP="00A63702">
      <w:pPr>
        <w:spacing w:after="120" w:line="480" w:lineRule="auto"/>
        <w:ind w:firstLine="720"/>
        <w:rPr>
          <w:rStyle w:val="cit-auth"/>
        </w:rPr>
      </w:pPr>
      <w:r>
        <w:t xml:space="preserve">When there is concern that bias may have hidden a negative effect, </w:t>
      </w:r>
      <w:r w:rsidR="0047749C">
        <w:t>one c</w:t>
      </w:r>
      <w:r w:rsidR="00CB3209">
        <w:t xml:space="preserve">ould define </w:t>
      </w:r>
      <w:r w:rsidR="00CB3209">
        <w:rPr>
          <w:color w:val="000000"/>
        </w:rPr>
        <w:t>δ</w:t>
      </w:r>
      <w:r w:rsidR="00CB3209" w:rsidRPr="00AE0C05">
        <w:rPr>
          <w:color w:val="000000"/>
          <w:vertAlign w:val="superscript"/>
        </w:rPr>
        <w:t>#</w:t>
      </w:r>
      <w:r w:rsidR="00CB3209">
        <w:t xml:space="preserve"> as the threshold for inferring a negative effect of a treatment and then quantify the bias necessary to have created a false inference that there is no negative effect. For example, if a value of </w:t>
      </w:r>
      <w:r w:rsidR="00CB3209">
        <w:rPr>
          <w:color w:val="000000"/>
        </w:rPr>
        <w:t>δ</w:t>
      </w:r>
      <w:r w:rsidR="00CB3209" w:rsidRPr="00AE0C05">
        <w:rPr>
          <w:color w:val="000000"/>
          <w:vertAlign w:val="superscript"/>
        </w:rPr>
        <w:t>#</w:t>
      </w:r>
      <w:r>
        <w:t xml:space="preserve"> of </w:t>
      </w:r>
      <w:r w:rsidR="00D171C3">
        <w:rPr>
          <w:rStyle w:val="cit-auth"/>
        </w:rPr>
        <w:t>−</w:t>
      </w:r>
      <w:r w:rsidR="00CB3209">
        <w:t>4 would be strong enough to infer a negativ</w:t>
      </w:r>
      <w:r w:rsidR="00D171C3">
        <w:t xml:space="preserve">e effect and the estimate were </w:t>
      </w:r>
      <w:r w:rsidR="00D171C3">
        <w:rPr>
          <w:rStyle w:val="cit-auth"/>
        </w:rPr>
        <w:t>−</w:t>
      </w:r>
      <w:r w:rsidR="00CB3209">
        <w:t xml:space="preserve">3, then the bias necessary to invalidate the inference would be </w:t>
      </w:r>
      <w:r w:rsidR="00CB3209">
        <w:rPr>
          <w:color w:val="000000"/>
        </w:rPr>
        <w:t>1−δ</w:t>
      </w:r>
      <w:r w:rsidR="00CB3209" w:rsidRPr="00AE0C05">
        <w:rPr>
          <w:color w:val="000000"/>
          <w:vertAlign w:val="superscript"/>
        </w:rPr>
        <w:t xml:space="preserve"># </w:t>
      </w:r>
      <w:r w:rsidR="00CB3209">
        <w:rPr>
          <w:color w:val="000000"/>
        </w:rPr>
        <w:t>/</w:t>
      </w:r>
      <w:r w:rsidR="00CB3209" w:rsidRPr="008A0275">
        <w:rPr>
          <w:position w:val="-6"/>
          <w:sz w:val="20"/>
          <w:lang w:val="de-DE"/>
        </w:rPr>
        <w:object w:dxaOrig="220" w:dyaOrig="340">
          <v:shape id="_x0000_i1071" type="#_x0000_t75" style="width:11.25pt;height:17.25pt" o:ole="" fillcolor="window">
            <v:imagedata r:id="rId64" o:title=""/>
          </v:shape>
          <o:OLEObject Type="Embed" ProgID="Equation.DSMT4" ShapeID="_x0000_i1071" DrawAspect="Content" ObjectID="_1478976188" r:id="rId71"/>
        </w:object>
      </w:r>
      <w:r w:rsidR="00D171C3">
        <w:rPr>
          <w:color w:val="000000"/>
        </w:rPr>
        <w:t>=1</w:t>
      </w:r>
      <w:r w:rsidR="00D171C3">
        <w:rPr>
          <w:rStyle w:val="cit-auth"/>
        </w:rPr>
        <w:t>−</w:t>
      </w:r>
      <w:r w:rsidR="00D171C3">
        <w:rPr>
          <w:color w:val="000000"/>
        </w:rPr>
        <w:t>(</w:t>
      </w:r>
      <w:r w:rsidR="00D171C3">
        <w:rPr>
          <w:rStyle w:val="cit-auth"/>
        </w:rPr>
        <w:t>−</w:t>
      </w:r>
      <w:r w:rsidR="00D171C3">
        <w:rPr>
          <w:color w:val="000000"/>
        </w:rPr>
        <w:t>4)/</w:t>
      </w:r>
      <w:r w:rsidR="00D171C3">
        <w:rPr>
          <w:rStyle w:val="cit-auth"/>
        </w:rPr>
        <w:t>−</w:t>
      </w:r>
      <w:r w:rsidR="00D171C3">
        <w:rPr>
          <w:color w:val="000000"/>
        </w:rPr>
        <w:t>3)=</w:t>
      </w:r>
      <w:r w:rsidR="00D171C3">
        <w:rPr>
          <w:rStyle w:val="cit-auth"/>
        </w:rPr>
        <w:t>−</w:t>
      </w:r>
      <w:r w:rsidR="00CB3209">
        <w:rPr>
          <w:color w:val="000000"/>
        </w:rPr>
        <w:t>1/3. If the original estimate is biased by 1/3 then the inference of no negative effect is invalid.</w:t>
      </w:r>
      <w:r w:rsidR="0047749C">
        <w:rPr>
          <w:color w:val="000000"/>
        </w:rPr>
        <w:t xml:space="preserve"> </w:t>
      </w:r>
      <w:r>
        <w:rPr>
          <w:color w:val="000000"/>
        </w:rPr>
        <w:t xml:space="preserve">Alternatively, one </w:t>
      </w:r>
      <w:r>
        <w:rPr>
          <w:color w:val="000000"/>
        </w:rPr>
        <w:lastRenderedPageBreak/>
        <w:t xml:space="preserve">could </w:t>
      </w:r>
      <w:r>
        <w:rPr>
          <w:rStyle w:val="cit-auth"/>
        </w:rPr>
        <w:t xml:space="preserve">report the coefficient by which the estimate would have to be multiplied to exceed the threshold for inference.  This is simply the ratio of the observed estimate to its threshold.  For example, one would have to </w:t>
      </w:r>
      <w:r w:rsidR="00B957C1">
        <w:rPr>
          <w:rStyle w:val="cit-auth"/>
        </w:rPr>
        <w:t>multiply an observed effect of −</w:t>
      </w:r>
      <w:r>
        <w:rPr>
          <w:rStyle w:val="cit-auth"/>
        </w:rPr>
        <w:t xml:space="preserve">3 by 1.33 to make it exceed the threshold of </w:t>
      </w:r>
      <w:r w:rsidR="00D171C3">
        <w:rPr>
          <w:rStyle w:val="cit-auth"/>
        </w:rPr>
        <w:t>−</w:t>
      </w:r>
      <w:r>
        <w:rPr>
          <w:rStyle w:val="cit-auth"/>
        </w:rPr>
        <w:t>4.</w:t>
      </w:r>
    </w:p>
    <w:p w:rsidR="00897005" w:rsidRDefault="002F1A30">
      <w:pPr>
        <w:spacing w:line="480" w:lineRule="auto"/>
        <w:ind w:firstLine="720"/>
      </w:pPr>
      <w:proofErr w:type="gramStart"/>
      <w:r>
        <w:rPr>
          <w:rStyle w:val="cit-auth"/>
          <w:i/>
        </w:rPr>
        <w:t>Non-zero effect in the replacement</w:t>
      </w:r>
      <w:r w:rsidR="00537304">
        <w:rPr>
          <w:rStyle w:val="cit-auth"/>
          <w:i/>
        </w:rPr>
        <w:t xml:space="preserve"> (non-volunteer)</w:t>
      </w:r>
      <w:r>
        <w:rPr>
          <w:rStyle w:val="cit-auth"/>
          <w:i/>
        </w:rPr>
        <w:t xml:space="preserve"> population.</w:t>
      </w:r>
      <w:proofErr w:type="gramEnd"/>
      <w:r>
        <w:rPr>
          <w:rStyle w:val="cit-auth"/>
          <w:i/>
        </w:rPr>
        <w:t xml:space="preserve"> </w:t>
      </w:r>
      <w:r w:rsidR="000C6D0E">
        <w:rPr>
          <w:rStyle w:val="cit-auth"/>
        </w:rPr>
        <w:t>In our examples so far, we</w:t>
      </w:r>
      <w:r w:rsidR="00537304">
        <w:rPr>
          <w:rStyle w:val="cit-auth"/>
        </w:rPr>
        <w:t xml:space="preserve"> have assumed that replacement cases</w:t>
      </w:r>
      <w:r w:rsidR="000C6D0E">
        <w:rPr>
          <w:rStyle w:val="cit-auth"/>
        </w:rPr>
        <w:t xml:space="preserve"> have a zero treatment effect. </w:t>
      </w:r>
      <w:r w:rsidR="000F281F">
        <w:t>But o</w:t>
      </w:r>
      <w:r w:rsidR="00EB2BE0">
        <w:t xml:space="preserve">ur </w:t>
      </w:r>
      <w:r w:rsidR="000F281F">
        <w:t xml:space="preserve">general </w:t>
      </w:r>
      <w:r w:rsidR="00EB2BE0">
        <w:t xml:space="preserve">framework </w:t>
      </w:r>
      <w:r w:rsidR="000F281F">
        <w:t xml:space="preserve">also applies </w:t>
      </w:r>
      <w:r w:rsidR="00EB2BE0">
        <w:t xml:space="preserve">to </w:t>
      </w:r>
      <w:r>
        <w:t xml:space="preserve">the conditions necessary to invalidate an inference if </w:t>
      </w:r>
      <w:r w:rsidR="00537304">
        <w:t>one assumes a</w:t>
      </w:r>
      <w:r>
        <w:t xml:space="preserve"> non-zero treatment effect in the replacement population. </w:t>
      </w:r>
      <w:r w:rsidR="000C6D0E">
        <w:t>This can be illustrated in equation (7). S</w:t>
      </w:r>
      <w:r>
        <w:t>et</w:t>
      </w:r>
      <w:r w:rsidR="000F281F">
        <w:t>ting</w:t>
      </w:r>
      <w:r>
        <w:t xml:space="preserve"> </w:t>
      </w:r>
      <w:r w:rsidR="007077D4">
        <w:t xml:space="preserve">the combined population treatment effect to be </w:t>
      </w:r>
      <w:r w:rsidR="00537304">
        <w:t xml:space="preserve">less than </w:t>
      </w:r>
      <w:r>
        <w:t>the threshold for inference</w:t>
      </w:r>
      <w:r w:rsidR="007077D4">
        <w:t xml:space="preserve"> (</w:t>
      </w:r>
      <w:r w:rsidR="007077D4" w:rsidRPr="008A0275">
        <w:rPr>
          <w:position w:val="-6"/>
          <w:sz w:val="20"/>
        </w:rPr>
        <w:object w:dxaOrig="200" w:dyaOrig="320">
          <v:shape id="_x0000_i1072" type="#_x0000_t75" style="width:9.75pt;height:15.75pt" o:ole="" fillcolor="window">
            <v:imagedata r:id="rId35" o:title=""/>
          </v:shape>
          <o:OLEObject Type="Embed" ProgID="Equation.DSMT4" ShapeID="_x0000_i1072" DrawAspect="Content" ObjectID="_1478976189" r:id="rId72"/>
        </w:object>
      </w:r>
      <w:r w:rsidR="00523E1E">
        <w:fldChar w:fldCharType="begin"/>
      </w:r>
      <w:r w:rsidR="007077D4">
        <w:instrText>EQ \O()</w:instrText>
      </w:r>
      <w:r w:rsidR="00523E1E">
        <w:fldChar w:fldCharType="end"/>
      </w:r>
      <w:r w:rsidR="007077D4">
        <w:t xml:space="preserve"> &lt; </w:t>
      </w:r>
      <w:r w:rsidR="00537304">
        <w:t>δ</w:t>
      </w:r>
      <w:r w:rsidR="00537304" w:rsidRPr="0061605A">
        <w:rPr>
          <w:vertAlign w:val="superscript"/>
        </w:rPr>
        <w:t>#</w:t>
      </w:r>
      <w:r w:rsidR="007077D4">
        <w:t xml:space="preserve">) </w:t>
      </w:r>
      <w:r>
        <w:t>and solv</w:t>
      </w:r>
      <w:r w:rsidR="000F281F">
        <w:t xml:space="preserve">ing </w:t>
      </w:r>
      <w:r>
        <w:t xml:space="preserve">for </w:t>
      </w:r>
      <w:r w:rsidR="00EB2BE0">
        <w:t xml:space="preserve">the proportion of the </w:t>
      </w:r>
      <w:r>
        <w:t xml:space="preserve">original sample </w:t>
      </w:r>
      <w:r w:rsidR="00EB2BE0">
        <w:t xml:space="preserve">to be </w:t>
      </w:r>
      <w:r>
        <w:t>replaced</w:t>
      </w:r>
      <w:r w:rsidR="00537304">
        <w:t xml:space="preserve"> (1-π</w:t>
      </w:r>
      <w:r w:rsidR="00537304" w:rsidRPr="002323BF">
        <w:rPr>
          <w:i/>
          <w:vertAlign w:val="superscript"/>
        </w:rPr>
        <w:t>p</w:t>
      </w:r>
      <w:r w:rsidR="00537304">
        <w:t>)</w:t>
      </w:r>
      <w:r w:rsidR="000C6D0E">
        <w:t>,</w:t>
      </w:r>
      <w:r w:rsidR="000F281F">
        <w:t xml:space="preserve"> yields that the </w:t>
      </w:r>
      <w:r>
        <w:t xml:space="preserve">inference is invalid if </w:t>
      </w:r>
      <w:r w:rsidR="00EB2BE0">
        <w:t>1-</w:t>
      </w:r>
      <w:r>
        <w:t>π</w:t>
      </w:r>
      <w:r w:rsidRPr="002323BF">
        <w:rPr>
          <w:i/>
          <w:vertAlign w:val="superscript"/>
        </w:rPr>
        <w:t>p</w:t>
      </w:r>
      <w:proofErr w:type="gramStart"/>
      <w:r>
        <w:rPr>
          <w:u w:val="single"/>
        </w:rPr>
        <w:t>&lt;</w:t>
      </w:r>
      <w:r>
        <w:t>(</w:t>
      </w:r>
      <w:proofErr w:type="gramEnd"/>
      <w:r w:rsidR="00EB2BE0" w:rsidRPr="008A0275">
        <w:rPr>
          <w:position w:val="-6"/>
          <w:sz w:val="20"/>
        </w:rPr>
        <w:object w:dxaOrig="200" w:dyaOrig="320">
          <v:shape id="_x0000_i1073" type="#_x0000_t75" style="width:9.75pt;height:15.75pt" o:ole="" fillcolor="window">
            <v:imagedata r:id="rId35" o:title=""/>
          </v:shape>
          <o:OLEObject Type="Embed" ProgID="Equation.DSMT4" ShapeID="_x0000_i1073" DrawAspect="Content" ObjectID="_1478976190" r:id="rId73"/>
        </w:object>
      </w:r>
      <w:r w:rsidR="00EB2BE0" w:rsidRPr="002323BF">
        <w:rPr>
          <w:i/>
          <w:vertAlign w:val="superscript"/>
        </w:rPr>
        <w:t>p</w:t>
      </w:r>
      <w:r w:rsidR="00EB2BE0">
        <w:rPr>
          <w:vertAlign w:val="superscript"/>
        </w:rPr>
        <w:t xml:space="preserve"> </w:t>
      </w:r>
      <w:r w:rsidR="00EB2BE0">
        <w:rPr>
          <w:color w:val="000000"/>
        </w:rPr>
        <w:t>−</w:t>
      </w:r>
      <w:r w:rsidR="00EB2BE0" w:rsidRPr="00EB2BE0">
        <w:t xml:space="preserve"> </w:t>
      </w:r>
      <w:r w:rsidR="00EB2BE0">
        <w:t>δ</w:t>
      </w:r>
      <w:r w:rsidR="00EB2BE0" w:rsidRPr="0061605A">
        <w:rPr>
          <w:vertAlign w:val="superscript"/>
        </w:rPr>
        <w:t>#</w:t>
      </w:r>
      <w:r w:rsidR="00EB2BE0">
        <w:t>)/</w:t>
      </w:r>
      <w:r>
        <w:t>(</w:t>
      </w:r>
      <w:r w:rsidRPr="008A0275">
        <w:rPr>
          <w:position w:val="-6"/>
          <w:sz w:val="20"/>
        </w:rPr>
        <w:object w:dxaOrig="200" w:dyaOrig="320">
          <v:shape id="_x0000_i1074" type="#_x0000_t75" style="width:9.75pt;height:15.75pt" o:ole="" fillcolor="window">
            <v:imagedata r:id="rId35" o:title=""/>
          </v:shape>
          <o:OLEObject Type="Embed" ProgID="Equation.DSMT4" ShapeID="_x0000_i1074" DrawAspect="Content" ObjectID="_1478976191" r:id="rId74"/>
        </w:object>
      </w:r>
      <w:r w:rsidRPr="002323BF">
        <w:rPr>
          <w:i/>
          <w:vertAlign w:val="superscript"/>
        </w:rPr>
        <w:t>p</w:t>
      </w:r>
      <w:r>
        <w:rPr>
          <w:vertAlign w:val="superscript"/>
        </w:rPr>
        <w:t xml:space="preserve"> </w:t>
      </w:r>
      <w:r>
        <w:rPr>
          <w:color w:val="000000"/>
        </w:rPr>
        <w:t>−</w:t>
      </w:r>
      <w:r w:rsidRPr="008A0275">
        <w:rPr>
          <w:position w:val="-6"/>
          <w:sz w:val="20"/>
        </w:rPr>
        <w:object w:dxaOrig="200" w:dyaOrig="320">
          <v:shape id="_x0000_i1075" type="#_x0000_t75" style="width:9.75pt;height:15.75pt" o:ole="" fillcolor="window">
            <v:imagedata r:id="rId35" o:title=""/>
          </v:shape>
          <o:OLEObject Type="Embed" ProgID="Equation.DSMT4" ShapeID="_x0000_i1075" DrawAspect="Content" ObjectID="_1478976192" r:id="rId75"/>
        </w:object>
      </w:r>
      <w:r w:rsidRPr="00425574">
        <w:rPr>
          <w:i/>
          <w:vertAlign w:val="superscript"/>
        </w:rPr>
        <w:t>p</w:t>
      </w:r>
      <w:r>
        <w:rPr>
          <w:i/>
          <w:color w:val="000000"/>
        </w:rPr>
        <w:t>´</w:t>
      </w:r>
      <w:r>
        <w:rPr>
          <w:vertAlign w:val="superscript"/>
        </w:rPr>
        <w:t xml:space="preserve"> </w:t>
      </w:r>
      <w:r>
        <w:t xml:space="preserve">).  </w:t>
      </w:r>
    </w:p>
    <w:p w:rsidR="00897005" w:rsidRDefault="002F1A30">
      <w:pPr>
        <w:spacing w:line="480" w:lineRule="auto"/>
        <w:ind w:firstLine="720"/>
        <w:rPr>
          <w:color w:val="000000"/>
        </w:rPr>
      </w:pPr>
      <w:r>
        <w:t>In Borman et al.’s example, assume the effect of OCR in the non-volunteer population,</w:t>
      </w:r>
      <w:r w:rsidR="00EB2BE0" w:rsidRPr="008A0275">
        <w:rPr>
          <w:position w:val="-6"/>
          <w:sz w:val="20"/>
        </w:rPr>
        <w:object w:dxaOrig="340" w:dyaOrig="320">
          <v:shape id="_x0000_i1076" type="#_x0000_t75" style="width:16.5pt;height:15.75pt" o:ole="" fillcolor="window">
            <v:imagedata r:id="rId76" o:title=""/>
          </v:shape>
          <o:OLEObject Type="Embed" ProgID="Equation.DSMT4" ShapeID="_x0000_i1076" DrawAspect="Content" ObjectID="_1478976193" r:id="rId77"/>
        </w:object>
      </w:r>
      <w:proofErr w:type="gramStart"/>
      <w:r w:rsidR="00EB2BE0">
        <w:rPr>
          <w:sz w:val="20"/>
        </w:rPr>
        <w:t>,</w:t>
      </w:r>
      <w:proofErr w:type="gramEnd"/>
      <w:r>
        <w:t xml:space="preserve"> is </w:t>
      </w:r>
      <w:r>
        <w:rPr>
          <w:color w:val="000000"/>
        </w:rPr>
        <w:t>−</w:t>
      </w:r>
      <w:r>
        <w:t>2, and that δ</w:t>
      </w:r>
      <w:r w:rsidRPr="0061605A">
        <w:rPr>
          <w:vertAlign w:val="superscript"/>
        </w:rPr>
        <w:t>#</w:t>
      </w:r>
      <w:r>
        <w:t xml:space="preserve">=3.68 and </w:t>
      </w:r>
      <w:r w:rsidRPr="008A0275">
        <w:rPr>
          <w:position w:val="-6"/>
          <w:sz w:val="20"/>
        </w:rPr>
        <w:object w:dxaOrig="200" w:dyaOrig="320">
          <v:shape id="_x0000_i1077" type="#_x0000_t75" style="width:9.75pt;height:15.75pt" o:ole="" fillcolor="window">
            <v:imagedata r:id="rId35" o:title=""/>
          </v:shape>
          <o:OLEObject Type="Embed" ProgID="Equation.DSMT4" ShapeID="_x0000_i1077" DrawAspect="Content" ObjectID="_1478976194" r:id="rId78"/>
        </w:object>
      </w:r>
      <w:r w:rsidRPr="002323BF">
        <w:rPr>
          <w:i/>
          <w:vertAlign w:val="superscript"/>
        </w:rPr>
        <w:t>p</w:t>
      </w:r>
      <w:r>
        <w:rPr>
          <w:vertAlign w:val="superscript"/>
        </w:rPr>
        <w:t xml:space="preserve"> </w:t>
      </w:r>
      <w:r>
        <w:t>=7.95 (</w:t>
      </w:r>
      <w:r w:rsidR="00EB2BE0">
        <w:t xml:space="preserve">both </w:t>
      </w:r>
      <w:r>
        <w:t xml:space="preserve">as </w:t>
      </w:r>
      <w:r w:rsidR="000F281F">
        <w:t>in the initial example</w:t>
      </w:r>
      <w:r>
        <w:t xml:space="preserve">). </w:t>
      </w:r>
      <w:r w:rsidR="000F281F">
        <w:t>Under these conditions</w:t>
      </w:r>
      <w:r>
        <w:t>, the inference is invalid if</w:t>
      </w:r>
      <w:r w:rsidR="00EB2BE0">
        <w:t xml:space="preserve"> 1-π</w:t>
      </w:r>
      <w:r w:rsidR="00EB2BE0" w:rsidRPr="002323BF">
        <w:rPr>
          <w:i/>
          <w:vertAlign w:val="superscript"/>
        </w:rPr>
        <w:t>p</w:t>
      </w:r>
      <w:proofErr w:type="gramStart"/>
      <w:r w:rsidR="00EB2BE0">
        <w:rPr>
          <w:u w:val="single"/>
        </w:rPr>
        <w:t>&lt;</w:t>
      </w:r>
      <w:r w:rsidR="00EB2BE0">
        <w:t>(</w:t>
      </w:r>
      <w:proofErr w:type="gramEnd"/>
      <w:r w:rsidR="00EB2BE0">
        <w:t>7.95</w:t>
      </w:r>
      <w:r w:rsidR="00EB2BE0">
        <w:rPr>
          <w:vertAlign w:val="superscript"/>
        </w:rPr>
        <w:t xml:space="preserve"> </w:t>
      </w:r>
      <w:r w:rsidR="00EB2BE0">
        <w:rPr>
          <w:color w:val="000000"/>
        </w:rPr>
        <w:t>–</w:t>
      </w:r>
      <w:r w:rsidR="00EB2BE0" w:rsidRPr="00EB2BE0">
        <w:t xml:space="preserve"> </w:t>
      </w:r>
      <w:r w:rsidR="00EB2BE0">
        <w:t>3.68)/(7.95</w:t>
      </w:r>
      <w:r w:rsidR="00EB2BE0">
        <w:rPr>
          <w:vertAlign w:val="superscript"/>
        </w:rPr>
        <w:t xml:space="preserve"> </w:t>
      </w:r>
      <w:r w:rsidR="00EB2BE0">
        <w:rPr>
          <w:color w:val="000000"/>
        </w:rPr>
        <w:t>− −2</w:t>
      </w:r>
      <w:r w:rsidR="00EB2BE0">
        <w:rPr>
          <w:vertAlign w:val="superscript"/>
        </w:rPr>
        <w:t xml:space="preserve"> </w:t>
      </w:r>
      <w:r w:rsidR="00EB2BE0">
        <w:t>) =.43</w:t>
      </w:r>
      <w:r w:rsidR="000F281F">
        <w:t xml:space="preserve">; the </w:t>
      </w:r>
      <w:r>
        <w:t>inference would be invalid if more than 43% of the sample were replaced</w:t>
      </w:r>
      <w:r w:rsidR="000F281F">
        <w:t xml:space="preserve"> with cases for which the effect of OCR was </w:t>
      </w:r>
      <w:r w:rsidR="000F281F">
        <w:rPr>
          <w:color w:val="000000"/>
        </w:rPr>
        <w:t>−</w:t>
      </w:r>
      <w:r w:rsidR="000F281F">
        <w:t xml:space="preserve">2 </w:t>
      </w:r>
      <w:r>
        <w:rPr>
          <w:i/>
          <w:color w:val="000000"/>
        </w:rPr>
        <w:t xml:space="preserve">.  </w:t>
      </w:r>
      <w:r w:rsidR="000F281F">
        <w:rPr>
          <w:color w:val="000000"/>
        </w:rPr>
        <w:t xml:space="preserve">Intuitively, </w:t>
      </w:r>
      <w:r w:rsidR="005D1E68">
        <w:rPr>
          <w:color w:val="000000"/>
        </w:rPr>
        <w:t xml:space="preserve">to invalidate the inference one would have to </w:t>
      </w:r>
      <w:r w:rsidR="00F91A33">
        <w:rPr>
          <w:color w:val="000000"/>
        </w:rPr>
        <w:t>replace a smaller percentage (43% versus 54%) if there is a negative versus zero effect in the replacement cases.</w:t>
      </w:r>
    </w:p>
    <w:p w:rsidR="002F1A30" w:rsidRPr="002F1A30" w:rsidRDefault="002F1A30" w:rsidP="00A63702">
      <w:pPr>
        <w:spacing w:after="120" w:line="480" w:lineRule="auto"/>
        <w:ind w:firstLine="720"/>
        <w:rPr>
          <w:i/>
        </w:rPr>
      </w:pPr>
    </w:p>
    <w:p w:rsidR="00222B9D" w:rsidRDefault="00CA56A0" w:rsidP="006D522A">
      <w:pPr>
        <w:widowControl w:val="0"/>
        <w:spacing w:line="480" w:lineRule="auto"/>
        <w:ind w:firstLine="720"/>
        <w:jc w:val="center"/>
        <w:rPr>
          <w:i/>
        </w:rPr>
      </w:pPr>
      <w:r>
        <w:rPr>
          <w:b/>
        </w:rPr>
        <w:t>Discussion</w:t>
      </w:r>
    </w:p>
    <w:p w:rsidR="006A0D14" w:rsidRDefault="00097A89" w:rsidP="00D310B0">
      <w:pPr>
        <w:widowControl w:val="0"/>
        <w:spacing w:line="480" w:lineRule="auto"/>
        <w:ind w:firstLine="720"/>
      </w:pPr>
      <w:r>
        <w:t>J</w:t>
      </w:r>
      <w:r w:rsidR="00D310B0">
        <w:t>udgment is required to interpret a</w:t>
      </w:r>
      <w:r w:rsidR="006A0D14">
        <w:rPr>
          <w:color w:val="000000"/>
        </w:rPr>
        <w:t>ny causal inference</w:t>
      </w:r>
      <w:r w:rsidR="00D310B0">
        <w:rPr>
          <w:color w:val="000000"/>
        </w:rPr>
        <w:t xml:space="preserve"> in educational policy research.  For instance, Borman et al.’s inference that the effects of OCR “</w:t>
      </w:r>
      <w:r w:rsidR="00D310B0">
        <w:t>may be replicated across varying contexts with rather consistent and positive results,” (page 405)</w:t>
      </w:r>
      <w:r w:rsidR="00D310B0">
        <w:rPr>
          <w:color w:val="000000"/>
        </w:rPr>
        <w:t xml:space="preserve"> may not apply to schools that did not volunteer for participation in OCR. </w:t>
      </w:r>
      <w:r w:rsidR="00D310B0">
        <w:t xml:space="preserve">Hong and </w:t>
      </w:r>
      <w:proofErr w:type="spellStart"/>
      <w:r w:rsidR="00D310B0">
        <w:t>Raudenbush’s</w:t>
      </w:r>
      <w:proofErr w:type="spellEnd"/>
      <w:r w:rsidR="00D310B0">
        <w:t xml:space="preserve"> </w:t>
      </w:r>
      <w:r w:rsidR="00D310B0">
        <w:rPr>
          <w:color w:val="000000"/>
        </w:rPr>
        <w:t xml:space="preserve">(2005) </w:t>
      </w:r>
      <w:r w:rsidR="00D310B0">
        <w:t xml:space="preserve">inference that “children </w:t>
      </w:r>
      <w:r w:rsidR="00D310B0">
        <w:lastRenderedPageBreak/>
        <w:t xml:space="preserve">who were retained would have learned more had they been promoted” (page 200) may </w:t>
      </w:r>
      <w:r w:rsidR="00D310B0">
        <w:rPr>
          <w:lang w:eastAsia="zh-CN"/>
        </w:rPr>
        <w:t xml:space="preserve">be invalid </w:t>
      </w:r>
      <w:r w:rsidR="00D310B0">
        <w:t xml:space="preserve">if some other factor affected the likelihood of retention and achievement.  </w:t>
      </w:r>
    </w:p>
    <w:p w:rsidR="00D41545" w:rsidRDefault="00D310B0" w:rsidP="000F7E81">
      <w:pPr>
        <w:widowControl w:val="0"/>
        <w:spacing w:line="480" w:lineRule="auto"/>
        <w:ind w:firstLine="720"/>
        <w:rPr>
          <w:color w:val="000000"/>
        </w:rPr>
      </w:pPr>
      <w:r>
        <w:rPr>
          <w:color w:val="000000"/>
        </w:rPr>
        <w:t xml:space="preserve">To </w:t>
      </w:r>
      <w:r w:rsidR="006A0D14">
        <w:rPr>
          <w:color w:val="000000"/>
        </w:rPr>
        <w:t xml:space="preserve">inform </w:t>
      </w:r>
      <w:r w:rsidR="000B6DAB">
        <w:rPr>
          <w:color w:val="000000"/>
        </w:rPr>
        <w:t xml:space="preserve">interpretation of inferences, </w:t>
      </w:r>
      <w:r w:rsidR="006A0D14">
        <w:rPr>
          <w:color w:val="000000"/>
        </w:rPr>
        <w:t xml:space="preserve">we have quantified how much bias must be to invalidate </w:t>
      </w:r>
      <w:r w:rsidR="008C7273">
        <w:rPr>
          <w:color w:val="000000"/>
        </w:rPr>
        <w:t>a</w:t>
      </w:r>
      <w:r w:rsidR="003B0ADA">
        <w:rPr>
          <w:color w:val="000000"/>
        </w:rPr>
        <w:t xml:space="preserve">n inference. </w:t>
      </w:r>
      <w:r w:rsidR="006A0D14">
        <w:rPr>
          <w:color w:val="000000"/>
        </w:rPr>
        <w:t xml:space="preserve">How much of Borman et al.’s (2008) estimate must be due to unusual effectiveness in their sample to invalidate their inference?  </w:t>
      </w:r>
      <w:r w:rsidR="00B4590A">
        <w:rPr>
          <w:color w:val="000000"/>
        </w:rPr>
        <w:t xml:space="preserve">The answer is 54%.  Interpreting </w:t>
      </w:r>
      <w:r w:rsidR="00D41545">
        <w:rPr>
          <w:color w:val="000000"/>
        </w:rPr>
        <w:t xml:space="preserve">in </w:t>
      </w:r>
      <w:r w:rsidR="00B4590A">
        <w:rPr>
          <w:color w:val="000000"/>
        </w:rPr>
        <w:t xml:space="preserve">terms of </w:t>
      </w:r>
      <w:r w:rsidR="00D41545">
        <w:rPr>
          <w:color w:val="000000"/>
        </w:rPr>
        <w:t xml:space="preserve">our framework, </w:t>
      </w:r>
      <w:r w:rsidR="00B4590A">
        <w:rPr>
          <w:color w:val="000000"/>
        </w:rPr>
        <w:t xml:space="preserve">to </w:t>
      </w:r>
      <w:r w:rsidR="00D41545">
        <w:rPr>
          <w:color w:val="000000"/>
        </w:rPr>
        <w:t xml:space="preserve">infer that </w:t>
      </w:r>
      <w:r w:rsidR="00B4590A">
        <w:rPr>
          <w:color w:val="000000"/>
        </w:rPr>
        <w:t>OCR</w:t>
      </w:r>
      <w:r w:rsidR="00D41545">
        <w:rPr>
          <w:color w:val="000000"/>
        </w:rPr>
        <w:t xml:space="preserve"> does not have a general effect pertaining to </w:t>
      </w:r>
      <w:r w:rsidR="00F91A33">
        <w:rPr>
          <w:color w:val="000000"/>
        </w:rPr>
        <w:t xml:space="preserve">a </w:t>
      </w:r>
      <w:r w:rsidR="00D41545">
        <w:rPr>
          <w:color w:val="000000"/>
        </w:rPr>
        <w:t xml:space="preserve">population </w:t>
      </w:r>
      <w:r w:rsidR="00F91A33">
        <w:rPr>
          <w:color w:val="000000"/>
        </w:rPr>
        <w:t>that includes volunteer and non-volunteer schools</w:t>
      </w:r>
      <w:r w:rsidR="00B4590A">
        <w:rPr>
          <w:color w:val="000000"/>
        </w:rPr>
        <w:t>, o</w:t>
      </w:r>
      <w:r w:rsidR="000F7E81">
        <w:rPr>
          <w:color w:val="000000"/>
        </w:rPr>
        <w:t xml:space="preserve">ne would have </w:t>
      </w:r>
      <w:r w:rsidR="00F91A33">
        <w:rPr>
          <w:color w:val="000000"/>
        </w:rPr>
        <w:t xml:space="preserve">replace </w:t>
      </w:r>
      <w:r w:rsidR="000F7E81">
        <w:rPr>
          <w:color w:val="000000"/>
        </w:rPr>
        <w:t xml:space="preserve">54% of the </w:t>
      </w:r>
      <w:r w:rsidR="00F91A33">
        <w:rPr>
          <w:color w:val="000000"/>
        </w:rPr>
        <w:t xml:space="preserve">volunteer </w:t>
      </w:r>
      <w:r w:rsidR="000F7E81">
        <w:rPr>
          <w:color w:val="000000"/>
        </w:rPr>
        <w:t>classrooms in Borman et al</w:t>
      </w:r>
      <w:r w:rsidR="00F91A33">
        <w:rPr>
          <w:color w:val="000000"/>
        </w:rPr>
        <w:t>.’s study with non-volunteer classrooms in which there was no effect of OCR</w:t>
      </w:r>
      <w:r w:rsidR="000F7E81">
        <w:rPr>
          <w:color w:val="000000"/>
        </w:rPr>
        <w:t xml:space="preserve">.  </w:t>
      </w:r>
      <w:r w:rsidR="00C655E0">
        <w:rPr>
          <w:color w:val="000000"/>
        </w:rPr>
        <w:t xml:space="preserve">This adds precision to Borman et al.’s language of “may </w:t>
      </w:r>
      <w:r w:rsidR="00490800">
        <w:rPr>
          <w:color w:val="000000"/>
        </w:rPr>
        <w:t>be replicated</w:t>
      </w:r>
      <w:r w:rsidR="00C655E0">
        <w:rPr>
          <w:color w:val="000000"/>
        </w:rPr>
        <w:t>” and “rather consistent</w:t>
      </w:r>
      <w:r w:rsidR="00AA784C">
        <w:rPr>
          <w:color w:val="000000"/>
        </w:rPr>
        <w:t>.</w:t>
      </w:r>
      <w:r w:rsidR="00D41545">
        <w:rPr>
          <w:color w:val="000000"/>
        </w:rPr>
        <w:t>”</w:t>
      </w:r>
    </w:p>
    <w:p w:rsidR="00E219C5" w:rsidRDefault="00D41545" w:rsidP="000F7E81">
      <w:pPr>
        <w:widowControl w:val="0"/>
        <w:spacing w:line="480" w:lineRule="auto"/>
        <w:ind w:firstLine="720"/>
        <w:rPr>
          <w:color w:val="000000"/>
        </w:rPr>
      </w:pPr>
      <w:r>
        <w:rPr>
          <w:color w:val="000000"/>
        </w:rPr>
        <w:t>H</w:t>
      </w:r>
      <w:r w:rsidR="00197FB9">
        <w:rPr>
          <w:color w:val="000000"/>
        </w:rPr>
        <w:t xml:space="preserve">ow much of Hong and </w:t>
      </w:r>
      <w:proofErr w:type="spellStart"/>
      <w:r w:rsidR="00197FB9">
        <w:rPr>
          <w:color w:val="000000"/>
        </w:rPr>
        <w:t>Rau</w:t>
      </w:r>
      <w:r w:rsidR="006A0D14">
        <w:rPr>
          <w:color w:val="000000"/>
        </w:rPr>
        <w:t>de</w:t>
      </w:r>
      <w:r w:rsidR="00197FB9">
        <w:rPr>
          <w:color w:val="000000"/>
        </w:rPr>
        <w:t>n</w:t>
      </w:r>
      <w:r w:rsidR="006A0D14">
        <w:rPr>
          <w:color w:val="000000"/>
        </w:rPr>
        <w:t>bush’s</w:t>
      </w:r>
      <w:proofErr w:type="spellEnd"/>
      <w:r w:rsidR="006A0D14">
        <w:rPr>
          <w:color w:val="000000"/>
        </w:rPr>
        <w:t xml:space="preserve"> estimate must be due to bias to invalidate their inference?  </w:t>
      </w:r>
      <w:r>
        <w:rPr>
          <w:color w:val="000000"/>
        </w:rPr>
        <w:t>The answer is 85%.  Interpreting in our framework in terms of counterfactual data, t</w:t>
      </w:r>
      <w:r w:rsidR="000F7E81">
        <w:rPr>
          <w:color w:val="000000"/>
        </w:rPr>
        <w:t>o believe</w:t>
      </w:r>
      <w:r w:rsidR="000F7E81">
        <w:t xml:space="preserve"> that retention did not have an effect, one would have to believe that 85% or more of promoted students (who were comparable to retained students in terms of background, emotional disposition, school membership, and pretests) would have held most of their advantage whether or not they repeated a year of kindergarten. </w:t>
      </w:r>
    </w:p>
    <w:p w:rsidR="00285237" w:rsidRDefault="00465156" w:rsidP="00F923FD">
      <w:pPr>
        <w:widowControl w:val="0"/>
        <w:spacing w:line="480" w:lineRule="auto"/>
        <w:ind w:firstLine="720"/>
        <w:rPr>
          <w:color w:val="000000"/>
        </w:rPr>
      </w:pPr>
      <w:r>
        <w:rPr>
          <w:color w:val="000000"/>
        </w:rPr>
        <w:t>T</w:t>
      </w:r>
      <w:r w:rsidR="00F923FD">
        <w:rPr>
          <w:color w:val="000000"/>
        </w:rPr>
        <w:t xml:space="preserve">he bias necessary to invalidate an inference should be evaluated relative to the study design. The sampling bias necessary to invalidate Borman et al.’s inference from a randomized experiment on a volunteer sample should be evaluated relative to the characteristics of the sample and desired population, as well as the sampling mechanism.  </w:t>
      </w:r>
      <w:r w:rsidR="00D41545">
        <w:rPr>
          <w:color w:val="000000"/>
        </w:rPr>
        <w:t xml:space="preserve">They did include a range of socioeconomic status and region which should make their data representative of broader populations, but all of the schools in their study volunteered for the study, potentially differentiating them from non-volunteer schools. </w:t>
      </w:r>
      <w:r w:rsidR="00285237">
        <w:rPr>
          <w:color w:val="000000"/>
        </w:rPr>
        <w:t xml:space="preserve">Quantifying this concern, 54% of the volunteer </w:t>
      </w:r>
      <w:r w:rsidR="00285237">
        <w:rPr>
          <w:color w:val="000000"/>
        </w:rPr>
        <w:lastRenderedPageBreak/>
        <w:t>schools would have to be unrepresentative of the volunteer schools to invalidate the inference.</w:t>
      </w:r>
    </w:p>
    <w:p w:rsidR="00285237" w:rsidRDefault="00F923FD" w:rsidP="00285237">
      <w:pPr>
        <w:widowControl w:val="0"/>
        <w:spacing w:line="480" w:lineRule="auto"/>
        <w:ind w:firstLine="720"/>
        <w:rPr>
          <w:color w:val="000000"/>
        </w:rPr>
      </w:pPr>
      <w:r>
        <w:rPr>
          <w:color w:val="000000"/>
        </w:rPr>
        <w:t xml:space="preserve">Similarly, the extent of selection bias necessary to invalidate Hong and </w:t>
      </w:r>
      <w:proofErr w:type="spellStart"/>
      <w:r>
        <w:rPr>
          <w:color w:val="000000"/>
        </w:rPr>
        <w:t>Raudenbush’s</w:t>
      </w:r>
      <w:proofErr w:type="spellEnd"/>
      <w:r>
        <w:rPr>
          <w:color w:val="000000"/>
        </w:rPr>
        <w:t xml:space="preserve"> inference should be evaluated relative to the mechanism of treatment assignment, as well as the statistical controls employed to </w:t>
      </w:r>
      <w:r w:rsidR="00F91A33">
        <w:rPr>
          <w:color w:val="000000"/>
        </w:rPr>
        <w:t xml:space="preserve">reduce </w:t>
      </w:r>
      <w:r>
        <w:rPr>
          <w:color w:val="000000"/>
        </w:rPr>
        <w:t>selection bias.</w:t>
      </w:r>
      <w:r w:rsidR="00593FDD" w:rsidRPr="00593FDD">
        <w:rPr>
          <w:color w:val="000000"/>
        </w:rPr>
        <w:t xml:space="preserve"> </w:t>
      </w:r>
      <w:r w:rsidR="00285237">
        <w:rPr>
          <w:color w:val="000000"/>
        </w:rPr>
        <w:t xml:space="preserve">Hong and Raudenbush </w:t>
      </w:r>
      <w:r w:rsidR="00D41545">
        <w:rPr>
          <w:color w:val="000000"/>
        </w:rPr>
        <w:t xml:space="preserve">did control for background, emotional disposition and pretests, ruling out many of the most ready explanations for differences between the retained and promoted students.  But questions may persist about remaining, uncontrolled differences. </w:t>
      </w:r>
      <w:r w:rsidR="00285237">
        <w:rPr>
          <w:color w:val="000000"/>
        </w:rPr>
        <w:t xml:space="preserve">Quantifying this concern, 85% of the observed students would have to be replaced with </w:t>
      </w:r>
      <w:r w:rsidR="00F91A33">
        <w:rPr>
          <w:color w:val="000000"/>
        </w:rPr>
        <w:t xml:space="preserve">unbiased </w:t>
      </w:r>
      <w:r w:rsidR="00285237">
        <w:rPr>
          <w:color w:val="000000"/>
        </w:rPr>
        <w:t xml:space="preserve">counterfactual cases (for which there was no treatment effect) to invalidate the inference. </w:t>
      </w:r>
    </w:p>
    <w:p w:rsidR="004A556C" w:rsidRDefault="00F91A33" w:rsidP="00D41545">
      <w:pPr>
        <w:widowControl w:val="0"/>
        <w:spacing w:line="480" w:lineRule="auto"/>
        <w:ind w:firstLine="720"/>
      </w:pPr>
      <w:r>
        <w:rPr>
          <w:color w:val="000000"/>
        </w:rPr>
        <w:t>E</w:t>
      </w:r>
      <w:r w:rsidR="00D41545">
        <w:rPr>
          <w:color w:val="000000"/>
        </w:rPr>
        <w:t xml:space="preserve">valuating the robustness of an inference relative to study design has two important implications. First, </w:t>
      </w:r>
      <w:r w:rsidR="00593FDD">
        <w:rPr>
          <w:color w:val="000000"/>
        </w:rPr>
        <w:t>there is limited value in directly comparing the bias necessary to invalidate an inference between studies of different designs (e.g., randomized experiments and observational studies).</w:t>
      </w:r>
      <w:r w:rsidR="00D41545">
        <w:rPr>
          <w:color w:val="000000"/>
        </w:rPr>
        <w:t xml:space="preserve">  Second, t</w:t>
      </w:r>
      <w:r w:rsidR="0038189D">
        <w:rPr>
          <w:color w:val="000000"/>
        </w:rPr>
        <w:t>he more bias favoring the treatment the study has accounted for the less robust the inference will appear to be, because adjusting for bias moves the estimate closer to the threshold</w:t>
      </w:r>
      <w:r>
        <w:rPr>
          <w:color w:val="000000"/>
        </w:rPr>
        <w:t xml:space="preserve"> for inference</w:t>
      </w:r>
      <w:r w:rsidR="0038189D">
        <w:rPr>
          <w:color w:val="000000"/>
        </w:rPr>
        <w:t xml:space="preserve">.  </w:t>
      </w:r>
      <w:r w:rsidR="003B0ADA" w:rsidRPr="0013700B">
        <w:t>In this context, larger explained variance in the outcome (R</w:t>
      </w:r>
      <w:r w:rsidR="003B0ADA" w:rsidRPr="0013700B">
        <w:rPr>
          <w:vertAlign w:val="superscript"/>
        </w:rPr>
        <w:t>2</w:t>
      </w:r>
      <w:r w:rsidR="003B0ADA" w:rsidRPr="0013700B">
        <w:t xml:space="preserve">) is one indicator of a good model </w:t>
      </w:r>
      <w:r w:rsidR="00D41545">
        <w:t xml:space="preserve">for an observational study </w:t>
      </w:r>
      <w:r w:rsidR="003B0ADA" w:rsidRPr="0013700B">
        <w:t>because it suggests that many of the most important explanations of the outcome have been accounted for.</w:t>
      </w:r>
    </w:p>
    <w:p w:rsidR="003B0ADA" w:rsidRPr="003722E8" w:rsidRDefault="003B0ADA" w:rsidP="00D41545">
      <w:pPr>
        <w:widowControl w:val="0"/>
        <w:spacing w:line="480" w:lineRule="auto"/>
        <w:ind w:firstLine="720"/>
      </w:pPr>
      <w:r>
        <w:rPr>
          <w:color w:val="000000"/>
        </w:rPr>
        <w:t xml:space="preserve">  </w:t>
      </w:r>
    </w:p>
    <w:p w:rsidR="00555DFB" w:rsidRPr="00CA56A0" w:rsidRDefault="007315C2" w:rsidP="00073B98">
      <w:pPr>
        <w:widowControl w:val="0"/>
        <w:spacing w:after="120" w:line="480" w:lineRule="auto"/>
        <w:ind w:firstLine="720"/>
        <w:jc w:val="center"/>
        <w:rPr>
          <w:i/>
        </w:rPr>
      </w:pPr>
      <w:r>
        <w:rPr>
          <w:i/>
        </w:rPr>
        <w:t>Relation to Other</w:t>
      </w:r>
      <w:r w:rsidR="004B2D9F">
        <w:rPr>
          <w:i/>
        </w:rPr>
        <w:t xml:space="preserve"> Approaches</w:t>
      </w:r>
    </w:p>
    <w:p w:rsidR="00B0202D" w:rsidRDefault="00B0202D" w:rsidP="00B0202D">
      <w:pPr>
        <w:widowControl w:val="0"/>
        <w:spacing w:line="480" w:lineRule="auto"/>
        <w:ind w:firstLine="720"/>
      </w:pPr>
      <w:proofErr w:type="gramStart"/>
      <w:r>
        <w:rPr>
          <w:i/>
          <w:color w:val="000000"/>
        </w:rPr>
        <w:t>Bounding an effect.</w:t>
      </w:r>
      <w:proofErr w:type="gramEnd"/>
      <w:r>
        <w:rPr>
          <w:i/>
          <w:color w:val="000000"/>
        </w:rPr>
        <w:t xml:space="preserve"> </w:t>
      </w:r>
      <w:r>
        <w:t>Altonji et al</w:t>
      </w:r>
      <w:r w:rsidR="00285237">
        <w:t>.</w:t>
      </w:r>
      <w:r>
        <w:t xml:space="preserve"> (2005, 2010) bounded estimated effects by drawing on information associated with observed confounds (cf. </w:t>
      </w:r>
      <w:proofErr w:type="spellStart"/>
      <w:r>
        <w:t>Manski</w:t>
      </w:r>
      <w:proofErr w:type="spellEnd"/>
      <w:r>
        <w:t xml:space="preserve">, 1990, who bounds based on the maximum value of the outcome).  Consistent with this, </w:t>
      </w:r>
      <w:r>
        <w:rPr>
          <w:color w:val="000000"/>
        </w:rPr>
        <w:t xml:space="preserve">Hong and Raudenbush (page 220), reported how their estimate would have changed if it was reduced by an omitted variable </w:t>
      </w:r>
      <w:r>
        <w:rPr>
          <w:color w:val="000000"/>
        </w:rPr>
        <w:lastRenderedPageBreak/>
        <w:t>comparable to their most important covariate</w:t>
      </w:r>
      <w:r>
        <w:t xml:space="preserve">.  </w:t>
      </w:r>
      <w:r w:rsidR="00285237">
        <w:t>In our own analysis</w:t>
      </w:r>
      <w:r w:rsidR="00D61B03">
        <w:t xml:space="preserve"> (reported in endnote </w:t>
      </w:r>
      <w:r w:rsidR="00F91A33">
        <w:rPr>
          <w:i/>
        </w:rPr>
        <w:t>ix</w:t>
      </w:r>
      <w:r w:rsidR="00D61B03">
        <w:t>)</w:t>
      </w:r>
      <w:r w:rsidR="00285237">
        <w:t xml:space="preserve">, the estimated retention effect was reduced by .074 when we added </w:t>
      </w:r>
      <w:r w:rsidR="00D14D0B">
        <w:t>emotional disposition</w:t>
      </w:r>
      <w:r w:rsidR="00285237">
        <w:t xml:space="preserve"> to a model already including p</w:t>
      </w:r>
      <w:r>
        <w:t>retests</w:t>
      </w:r>
      <w:r w:rsidR="00F91A33">
        <w:t>,</w:t>
      </w:r>
      <w:r w:rsidR="00285237">
        <w:t xml:space="preserve"> </w:t>
      </w:r>
      <w:r>
        <w:t>background characteristics</w:t>
      </w:r>
      <w:r w:rsidR="00F91A33">
        <w:t>,</w:t>
      </w:r>
      <w:r>
        <w:t xml:space="preserve"> and fixed effects for schools</w:t>
      </w:r>
      <w:r w:rsidR="00285237">
        <w:t xml:space="preserve">.  If unobserved confounds accounted for as much reduction, </w:t>
      </w:r>
      <w:r>
        <w:t>the lower bound of the kindergarten retention effec</w:t>
      </w:r>
      <w:r w:rsidR="00285237">
        <w:t>t would be −9.320+.074=−9.246.</w:t>
      </w:r>
    </w:p>
    <w:p w:rsidR="00B0202D" w:rsidRDefault="00B0202D" w:rsidP="00B0202D">
      <w:pPr>
        <w:widowControl w:val="0"/>
        <w:spacing w:line="480" w:lineRule="auto"/>
        <w:ind w:firstLine="720"/>
      </w:pPr>
      <w:r>
        <w:t xml:space="preserve">Of course the preceding analysis is only as good as the assumption that bias associated with unobserved confounders is no greater than bias associated with observed confounders.  Such would not be the case if there were some unique factor associated with kindergarten retention that was not captured in the general controls included in ECLS-K.  Or if there were an omitted factor whose effect on being retained was not substantially absorbed by the pretests in ECLS-K. </w:t>
      </w:r>
      <w:r w:rsidR="00031F73">
        <w:rPr>
          <w:vertAlign w:val="superscript"/>
        </w:rPr>
        <w:t xml:space="preserve">x  </w:t>
      </w:r>
      <w:r>
        <w:t>This forces consumers of research to carefully consider how potential confounders available in a data set were selected from the set of all possible confounders (Altonji et al., 2010; see also S</w:t>
      </w:r>
      <w:r w:rsidR="004A5F97">
        <w:t xml:space="preserve">teiner </w:t>
      </w:r>
      <w:r>
        <w:t xml:space="preserve">et al.’s 2010 attention to factors affecting choice of treatments).  </w:t>
      </w:r>
    </w:p>
    <w:p w:rsidR="00D67349" w:rsidRDefault="00D67349" w:rsidP="00285237">
      <w:pPr>
        <w:widowControl w:val="0"/>
        <w:spacing w:line="480" w:lineRule="auto"/>
        <w:ind w:firstLine="720"/>
      </w:pPr>
      <w:r>
        <w:t>Generally, while we recognize the great value of bounding an effect, bounding an effect supports different understanding than quantifying the robustness of an inference.  The lower bound of</w:t>
      </w:r>
      <w:r w:rsidR="003434CD">
        <w:t xml:space="preserve"> </w:t>
      </w:r>
      <w:r w:rsidR="00285237">
        <w:t xml:space="preserve">−9.246 </w:t>
      </w:r>
      <w:r>
        <w:t xml:space="preserve">provides information about a worst </w:t>
      </w:r>
      <w:r w:rsidR="003434CD">
        <w:t xml:space="preserve">(or best) </w:t>
      </w:r>
      <w:r>
        <w:t xml:space="preserve">case scenario whereas </w:t>
      </w:r>
      <w:r w:rsidR="00C10ABC">
        <w:t>we incorporate different effects as thresholds in our framework, and then quantify the bias necessary to reduce an estimate below the threshold</w:t>
      </w:r>
      <w:r w:rsidR="00080988">
        <w:t>.  Ultimately, we believe both can be useful to researchers and policy-makers.</w:t>
      </w:r>
    </w:p>
    <w:p w:rsidR="008A138D" w:rsidRDefault="003B0ADA" w:rsidP="008A138D">
      <w:pPr>
        <w:widowControl w:val="0"/>
        <w:spacing w:line="480" w:lineRule="auto"/>
        <w:ind w:firstLine="720"/>
        <w:rPr>
          <w:bCs/>
        </w:rPr>
      </w:pPr>
      <w:proofErr w:type="gramStart"/>
      <w:r>
        <w:rPr>
          <w:i/>
          <w:color w:val="000000"/>
        </w:rPr>
        <w:t>Other s</w:t>
      </w:r>
      <w:r w:rsidR="008A138D">
        <w:rPr>
          <w:i/>
          <w:color w:val="000000"/>
        </w:rPr>
        <w:t xml:space="preserve">ensitivity </w:t>
      </w:r>
      <w:r>
        <w:rPr>
          <w:i/>
          <w:color w:val="000000"/>
        </w:rPr>
        <w:t>analyses</w:t>
      </w:r>
      <w:r w:rsidR="008A138D">
        <w:rPr>
          <w:i/>
          <w:color w:val="000000"/>
        </w:rPr>
        <w:t>.</w:t>
      </w:r>
      <w:proofErr w:type="gramEnd"/>
      <w:r w:rsidR="008A138D">
        <w:rPr>
          <w:i/>
          <w:color w:val="000000"/>
        </w:rPr>
        <w:t xml:space="preserve"> </w:t>
      </w:r>
      <w:r w:rsidR="008A138D">
        <w:rPr>
          <w:color w:val="000000"/>
        </w:rPr>
        <w:t xml:space="preserve">Typical </w:t>
      </w:r>
      <w:r w:rsidR="008A138D">
        <w:t xml:space="preserve">sensitivity analyses are expressed in terms of the properties of the omitted variables that could alter </w:t>
      </w:r>
      <w:r w:rsidR="00973AAC">
        <w:t xml:space="preserve">an </w:t>
      </w:r>
      <w:r w:rsidR="008A138D">
        <w:t>inference either because they affect</w:t>
      </w:r>
      <w:r w:rsidR="00973AAC">
        <w:t>ed</w:t>
      </w:r>
      <w:r w:rsidR="008A138D">
        <w:t xml:space="preserve"> selection into the sample or assignment to treatments </w:t>
      </w:r>
      <w:r>
        <w:t xml:space="preserve">or both </w:t>
      </w:r>
      <w:r w:rsidR="008A138D">
        <w:t xml:space="preserve">(e.g., </w:t>
      </w:r>
      <w:proofErr w:type="spellStart"/>
      <w:r w:rsidR="008A138D">
        <w:rPr>
          <w:color w:val="000000"/>
        </w:rPr>
        <w:t>Copas</w:t>
      </w:r>
      <w:proofErr w:type="spellEnd"/>
      <w:r w:rsidR="008A138D">
        <w:rPr>
          <w:color w:val="000000"/>
        </w:rPr>
        <w:t xml:space="preserve"> &amp; Li,1997; Holland, 1989; Lin, </w:t>
      </w:r>
      <w:proofErr w:type="spellStart"/>
      <w:r w:rsidR="008A138D">
        <w:rPr>
          <w:color w:val="000000"/>
        </w:rPr>
        <w:t>Psaty</w:t>
      </w:r>
      <w:proofErr w:type="spellEnd"/>
      <w:r w:rsidR="008A138D">
        <w:rPr>
          <w:color w:val="000000"/>
        </w:rPr>
        <w:t xml:space="preserve"> </w:t>
      </w:r>
      <w:r w:rsidR="00973AAC">
        <w:rPr>
          <w:color w:val="000000"/>
        </w:rPr>
        <w:t xml:space="preserve">&amp; </w:t>
      </w:r>
      <w:proofErr w:type="spellStart"/>
      <w:r w:rsidR="008A138D">
        <w:rPr>
          <w:color w:val="000000"/>
        </w:rPr>
        <w:t>Kronmal</w:t>
      </w:r>
      <w:proofErr w:type="spellEnd"/>
      <w:r w:rsidR="008A138D">
        <w:rPr>
          <w:color w:val="000000"/>
        </w:rPr>
        <w:t xml:space="preserve">, 1998; </w:t>
      </w:r>
      <w:r w:rsidR="008A138D" w:rsidRPr="000F1D89">
        <w:rPr>
          <w:color w:val="000000"/>
        </w:rPr>
        <w:t xml:space="preserve">Robins, </w:t>
      </w:r>
      <w:proofErr w:type="spellStart"/>
      <w:r w:rsidR="008A138D" w:rsidRPr="000F1D89">
        <w:rPr>
          <w:color w:val="000000"/>
        </w:rPr>
        <w:t>Rotnisky</w:t>
      </w:r>
      <w:proofErr w:type="spellEnd"/>
      <w:r w:rsidR="008A138D" w:rsidRPr="000F1D89">
        <w:rPr>
          <w:color w:val="000000"/>
        </w:rPr>
        <w:t xml:space="preserve"> </w:t>
      </w:r>
      <w:r w:rsidR="008A138D">
        <w:rPr>
          <w:color w:val="000000"/>
        </w:rPr>
        <w:t>&amp;</w:t>
      </w:r>
      <w:r w:rsidR="008A138D" w:rsidRPr="000F1D89">
        <w:rPr>
          <w:color w:val="000000"/>
        </w:rPr>
        <w:t xml:space="preserve"> </w:t>
      </w:r>
      <w:proofErr w:type="spellStart"/>
      <w:r w:rsidR="008A138D" w:rsidRPr="000F1D89">
        <w:rPr>
          <w:color w:val="000000"/>
        </w:rPr>
        <w:t>Scharfstein</w:t>
      </w:r>
      <w:proofErr w:type="spellEnd"/>
      <w:r w:rsidR="008A138D">
        <w:rPr>
          <w:color w:val="000000"/>
        </w:rPr>
        <w:t>,</w:t>
      </w:r>
      <w:r w:rsidR="008A138D" w:rsidRPr="000F1D89">
        <w:rPr>
          <w:color w:val="000000"/>
        </w:rPr>
        <w:t xml:space="preserve"> 2000; Rosenbaum</w:t>
      </w:r>
      <w:r w:rsidR="008A138D">
        <w:rPr>
          <w:color w:val="000000"/>
        </w:rPr>
        <w:t>,</w:t>
      </w:r>
      <w:r w:rsidR="008A138D" w:rsidRPr="000F1D89">
        <w:rPr>
          <w:color w:val="000000"/>
        </w:rPr>
        <w:t xml:space="preserve"> 1986</w:t>
      </w:r>
      <w:r w:rsidR="008A138D">
        <w:rPr>
          <w:color w:val="000000"/>
        </w:rPr>
        <w:t xml:space="preserve">, </w:t>
      </w:r>
      <w:r w:rsidR="008A138D">
        <w:rPr>
          <w:color w:val="000000"/>
        </w:rPr>
        <w:lastRenderedPageBreak/>
        <w:t>2002</w:t>
      </w:r>
      <w:r w:rsidR="008A138D" w:rsidRPr="000F1D89">
        <w:rPr>
          <w:color w:val="000000"/>
        </w:rPr>
        <w:t xml:space="preserve">; Rosenbaum </w:t>
      </w:r>
      <w:r w:rsidR="008A138D">
        <w:rPr>
          <w:color w:val="000000"/>
        </w:rPr>
        <w:t xml:space="preserve">&amp; </w:t>
      </w:r>
      <w:r w:rsidR="008A138D" w:rsidRPr="000F1D89">
        <w:rPr>
          <w:color w:val="000000"/>
        </w:rPr>
        <w:t>Rubin</w:t>
      </w:r>
      <w:r w:rsidR="008A138D">
        <w:rPr>
          <w:color w:val="000000"/>
        </w:rPr>
        <w:t>,</w:t>
      </w:r>
      <w:r w:rsidR="008A138D" w:rsidRPr="000F1D89">
        <w:rPr>
          <w:color w:val="000000"/>
        </w:rPr>
        <w:t xml:space="preserve"> 1983; </w:t>
      </w:r>
      <w:proofErr w:type="spellStart"/>
      <w:r w:rsidR="008A138D" w:rsidRPr="000F1D89">
        <w:rPr>
          <w:color w:val="000000"/>
        </w:rPr>
        <w:t>Scharfstein</w:t>
      </w:r>
      <w:proofErr w:type="spellEnd"/>
      <w:r w:rsidR="008A138D">
        <w:rPr>
          <w:color w:val="000000"/>
        </w:rPr>
        <w:t>,</w:t>
      </w:r>
      <w:r w:rsidR="008A138D" w:rsidRPr="000F1D89">
        <w:rPr>
          <w:color w:val="000000"/>
        </w:rPr>
        <w:t xml:space="preserve"> 2002)</w:t>
      </w:r>
      <w:r w:rsidR="008A138D">
        <w:t xml:space="preserve">. </w:t>
      </w:r>
      <w:r w:rsidR="008A138D" w:rsidRPr="006E592E">
        <w:t xml:space="preserve">For example, </w:t>
      </w:r>
      <w:r w:rsidR="008A138D" w:rsidRPr="006E592E">
        <w:rPr>
          <w:bCs/>
        </w:rPr>
        <w:t xml:space="preserve">Rosenbaum, </w:t>
      </w:r>
      <w:r w:rsidR="008A138D">
        <w:rPr>
          <w:bCs/>
        </w:rPr>
        <w:t>(</w:t>
      </w:r>
      <w:r w:rsidR="008A138D" w:rsidRPr="006E592E">
        <w:rPr>
          <w:bCs/>
        </w:rPr>
        <w:t>1986, page 221) wrote: “The inclusion of an omitted variable U, which is as predictive as the most predictive covariate</w:t>
      </w:r>
      <w:r w:rsidR="008A138D">
        <w:rPr>
          <w:bCs/>
        </w:rPr>
        <w:t xml:space="preserve"> </w:t>
      </w:r>
      <w:r w:rsidR="008A138D" w:rsidRPr="006E592E">
        <w:rPr>
          <w:bCs/>
        </w:rPr>
        <w:t xml:space="preserve">in the short list of covariates excluding the pretest, would have a relatively modest impact on the estimated effect </w:t>
      </w:r>
      <w:r>
        <w:rPr>
          <w:bCs/>
        </w:rPr>
        <w:t xml:space="preserve">[of dropout on cognitive test scores] </w:t>
      </w:r>
      <w:r w:rsidR="008A138D" w:rsidRPr="006E592E">
        <w:rPr>
          <w:bCs/>
        </w:rPr>
        <w:t>unless that variable had a substantially larger dropout-versus-stayer difference than any covariate under study.”</w:t>
      </w:r>
      <w:r w:rsidR="008A138D">
        <w:rPr>
          <w:bCs/>
        </w:rPr>
        <w:t xml:space="preserve"> </w:t>
      </w:r>
      <w:r>
        <w:rPr>
          <w:bCs/>
        </w:rPr>
        <w:t xml:space="preserve"> </w:t>
      </w:r>
    </w:p>
    <w:p w:rsidR="009357F8" w:rsidRDefault="008A138D" w:rsidP="00080988">
      <w:pPr>
        <w:widowControl w:val="0"/>
        <w:spacing w:line="480" w:lineRule="auto"/>
        <w:ind w:firstLine="720"/>
      </w:pPr>
      <w:r>
        <w:rPr>
          <w:bCs/>
        </w:rPr>
        <w:t xml:space="preserve">Rosenbaum’s statement is </w:t>
      </w:r>
      <w:r w:rsidR="0048403B">
        <w:rPr>
          <w:bCs/>
        </w:rPr>
        <w:t xml:space="preserve">complex partly because </w:t>
      </w:r>
      <w:r>
        <w:rPr>
          <w:bCs/>
        </w:rPr>
        <w:t>one must consider two relationships associated with an omitted variable: the relationship with the predictor of interest</w:t>
      </w:r>
      <w:r w:rsidR="003B0ADA">
        <w:rPr>
          <w:bCs/>
        </w:rPr>
        <w:t xml:space="preserve"> (e.g., drop-out)</w:t>
      </w:r>
      <w:r>
        <w:rPr>
          <w:bCs/>
        </w:rPr>
        <w:t>, and the relationship with the outcome</w:t>
      </w:r>
      <w:r w:rsidR="003B0ADA">
        <w:rPr>
          <w:bCs/>
        </w:rPr>
        <w:t xml:space="preserve"> (e.g., cognitive test scores)</w:t>
      </w:r>
      <w:r>
        <w:rPr>
          <w:bCs/>
        </w:rPr>
        <w:t>.  Technically, this can be dealt with by conducting dual sensitivity (</w:t>
      </w:r>
      <w:proofErr w:type="spellStart"/>
      <w:r>
        <w:rPr>
          <w:bCs/>
        </w:rPr>
        <w:t>Gastwirth</w:t>
      </w:r>
      <w:proofErr w:type="spellEnd"/>
      <w:r>
        <w:rPr>
          <w:bCs/>
        </w:rPr>
        <w:t xml:space="preserve">, Krieger &amp; Rosenbaum, 1998) or by characterizing sensitivity </w:t>
      </w:r>
      <w:r w:rsidR="003B0ADA">
        <w:rPr>
          <w:bCs/>
        </w:rPr>
        <w:t xml:space="preserve">analysis </w:t>
      </w:r>
      <w:r>
        <w:rPr>
          <w:bCs/>
        </w:rPr>
        <w:t xml:space="preserve">in terms of the product of the two relationships (Frank, 2000; Hirano &amp; </w:t>
      </w:r>
      <w:proofErr w:type="spellStart"/>
      <w:r>
        <w:rPr>
          <w:bCs/>
        </w:rPr>
        <w:t>Imbens</w:t>
      </w:r>
      <w:proofErr w:type="spellEnd"/>
      <w:r>
        <w:rPr>
          <w:bCs/>
        </w:rPr>
        <w:t>, 2001</w:t>
      </w:r>
      <w:r w:rsidR="00727399">
        <w:rPr>
          <w:bCs/>
        </w:rPr>
        <w:t xml:space="preserve">; </w:t>
      </w:r>
      <w:proofErr w:type="spellStart"/>
      <w:r w:rsidR="00727399">
        <w:rPr>
          <w:bCs/>
        </w:rPr>
        <w:t>Iami</w:t>
      </w:r>
      <w:proofErr w:type="spellEnd"/>
      <w:r w:rsidR="00727399">
        <w:rPr>
          <w:bCs/>
        </w:rPr>
        <w:t>, Keel and Yamamoto, 2010</w:t>
      </w:r>
      <w:r>
        <w:rPr>
          <w:bCs/>
        </w:rPr>
        <w:t xml:space="preserve">).  </w:t>
      </w:r>
      <w:r w:rsidR="00080988">
        <w:rPr>
          <w:bCs/>
        </w:rPr>
        <w:t xml:space="preserve">But the critical limitation of most sensitivity analyses is that they are cast </w:t>
      </w:r>
      <w:r w:rsidR="00080988">
        <w:t xml:space="preserve">in terms of properties of the variables (e.g., correlations associated with the variables), appealing to those who think in terms of relationships among </w:t>
      </w:r>
      <w:r w:rsidR="00F7707D">
        <w:t>factors</w:t>
      </w:r>
      <w:r w:rsidR="00080988">
        <w:t xml:space="preserve">.  </w:t>
      </w:r>
    </w:p>
    <w:p w:rsidR="009357F8" w:rsidRPr="009357F8" w:rsidRDefault="00080988" w:rsidP="009357F8">
      <w:pPr>
        <w:widowControl w:val="0"/>
        <w:spacing w:line="480" w:lineRule="auto"/>
        <w:ind w:firstLine="720"/>
      </w:pPr>
      <w:r>
        <w:t xml:space="preserve">Our framework </w:t>
      </w:r>
      <w:r>
        <w:rPr>
          <w:bCs/>
        </w:rPr>
        <w:t xml:space="preserve">appeals to </w:t>
      </w:r>
      <w:r w:rsidR="00727399">
        <w:rPr>
          <w:bCs/>
        </w:rPr>
        <w:t xml:space="preserve">an </w:t>
      </w:r>
      <w:r>
        <w:rPr>
          <w:bCs/>
        </w:rPr>
        <w:t>alternative intuition</w:t>
      </w:r>
      <w:r w:rsidR="009357F8">
        <w:rPr>
          <w:bCs/>
        </w:rPr>
        <w:t xml:space="preserve"> than most sensitivity analyses</w:t>
      </w:r>
      <w:r>
        <w:rPr>
          <w:bCs/>
        </w:rPr>
        <w:t xml:space="preserve">:  </w:t>
      </w:r>
      <w:r w:rsidR="00F7707D">
        <w:rPr>
          <w:bCs/>
        </w:rPr>
        <w:t>w</w:t>
      </w:r>
      <w:r>
        <w:rPr>
          <w:bCs/>
        </w:rPr>
        <w:t xml:space="preserve">e express sensitivity in terms of properties of the units of observation (e.g., people or classrooms) </w:t>
      </w:r>
      <w:r w:rsidR="009357F8">
        <w:rPr>
          <w:bCs/>
        </w:rPr>
        <w:t xml:space="preserve">instead of variables, </w:t>
      </w:r>
      <w:r>
        <w:rPr>
          <w:bCs/>
        </w:rPr>
        <w:t>and we interpret in terms of motives, experiences, and outcomes of the people responsible for action (Abbott 19</w:t>
      </w:r>
      <w:r w:rsidR="009357F8">
        <w:rPr>
          <w:bCs/>
        </w:rPr>
        <w:t xml:space="preserve">98). This may especially appeal </w:t>
      </w:r>
      <w:r w:rsidR="009357F8">
        <w:t xml:space="preserve">to </w:t>
      </w:r>
      <w:r w:rsidR="009357F8">
        <w:rPr>
          <w:bCs/>
        </w:rPr>
        <w:t>those who engage schools and students in their daily practice. For example, a</w:t>
      </w:r>
      <w:r w:rsidR="009357F8">
        <w:rPr>
          <w:color w:val="000000"/>
        </w:rPr>
        <w:t xml:space="preserve"> principal may naturally consider how her school compares with a neighboring school in deciding whether to adopt one of its policies. Just so, she may be able to consider how </w:t>
      </w:r>
      <w:r w:rsidR="00727399">
        <w:rPr>
          <w:color w:val="000000"/>
        </w:rPr>
        <w:t xml:space="preserve">well </w:t>
      </w:r>
      <w:r w:rsidR="009357F8">
        <w:rPr>
          <w:color w:val="000000"/>
        </w:rPr>
        <w:t xml:space="preserve">the schools </w:t>
      </w:r>
      <w:r w:rsidR="00286CD4">
        <w:rPr>
          <w:color w:val="000000"/>
        </w:rPr>
        <w:t xml:space="preserve">which </w:t>
      </w:r>
      <w:r w:rsidR="009357F8">
        <w:rPr>
          <w:color w:val="000000"/>
        </w:rPr>
        <w:t xml:space="preserve">volunteered for a study </w:t>
      </w:r>
      <w:r w:rsidR="00727399">
        <w:rPr>
          <w:color w:val="000000"/>
        </w:rPr>
        <w:t xml:space="preserve">represent </w:t>
      </w:r>
      <w:r w:rsidR="009357F8">
        <w:rPr>
          <w:color w:val="000000"/>
        </w:rPr>
        <w:t>her own</w:t>
      </w:r>
      <w:r w:rsidR="00727399">
        <w:rPr>
          <w:color w:val="000000"/>
        </w:rPr>
        <w:t>, and may draw on our framework to quantify her consideration.</w:t>
      </w:r>
    </w:p>
    <w:p w:rsidR="00143731" w:rsidRDefault="00555DFB" w:rsidP="00684F11">
      <w:pPr>
        <w:widowControl w:val="0"/>
        <w:spacing w:line="480" w:lineRule="auto"/>
        <w:ind w:firstLine="720"/>
      </w:pPr>
      <w:r>
        <w:rPr>
          <w:i/>
        </w:rPr>
        <w:t xml:space="preserve">External validity based on propensity to be in a </w:t>
      </w:r>
      <w:r w:rsidRPr="00566B24">
        <w:rPr>
          <w:i/>
        </w:rPr>
        <w:t>study</w:t>
      </w:r>
      <w:r>
        <w:t xml:space="preserve">. </w:t>
      </w:r>
      <w:r w:rsidR="00807F21" w:rsidRPr="00566B24">
        <w:t>Hedges</w:t>
      </w:r>
      <w:r w:rsidR="00807F21" w:rsidRPr="009E5541">
        <w:t xml:space="preserve"> </w:t>
      </w:r>
      <w:r w:rsidR="00807F21">
        <w:t xml:space="preserve">and </w:t>
      </w:r>
      <w:proofErr w:type="spellStart"/>
      <w:r w:rsidR="00807F21" w:rsidRPr="009E5541">
        <w:t>O’Muircheartaigh</w:t>
      </w:r>
      <w:proofErr w:type="spellEnd"/>
      <w:r w:rsidR="00807F21">
        <w:t xml:space="preserve"> </w:t>
      </w:r>
      <w:r w:rsidR="00807F21">
        <w:lastRenderedPageBreak/>
        <w:t>(2011) use</w:t>
      </w:r>
      <w:r w:rsidR="00D14D0B">
        <w:t>d</w:t>
      </w:r>
      <w:r w:rsidR="00807F21">
        <w:t xml:space="preserve"> the estimates from a particular propensity stratum to generalize to a corresponding unstudied population.  This is </w:t>
      </w:r>
      <w:r>
        <w:t>a clever approach to exploring the external validity of an inference based on the propensity for being in a study</w:t>
      </w:r>
      <w:r w:rsidR="00EA4659">
        <w:t xml:space="preserve"> (see also Pearl </w:t>
      </w:r>
      <w:r w:rsidR="00D5328B">
        <w:t>&amp;</w:t>
      </w:r>
      <w:r w:rsidR="00EA4659">
        <w:t xml:space="preserve"> </w:t>
      </w:r>
      <w:proofErr w:type="spellStart"/>
      <w:r w:rsidR="00EA4659">
        <w:t>Bareinboim</w:t>
      </w:r>
      <w:proofErr w:type="spellEnd"/>
      <w:r w:rsidR="00EA4659">
        <w:t>, 2011; Stuart et al., 2011)</w:t>
      </w:r>
      <w:r>
        <w:t xml:space="preserve">. </w:t>
      </w:r>
      <w:r w:rsidR="0061549B">
        <w:t xml:space="preserve"> For example, one might use estimated effects of </w:t>
      </w:r>
      <w:r w:rsidR="004C0FAC">
        <w:t xml:space="preserve">small classes </w:t>
      </w:r>
      <w:r w:rsidR="00727399">
        <w:t xml:space="preserve">in Tennessee </w:t>
      </w:r>
      <w:r w:rsidR="004C0FAC">
        <w:t>(Finn &amp; Achilles, 1990) for certain strata based on background characteristics to project a score for California.</w:t>
      </w:r>
    </w:p>
    <w:p w:rsidR="00D14D0B" w:rsidRDefault="0048403B" w:rsidP="00600529">
      <w:pPr>
        <w:widowControl w:val="0"/>
        <w:spacing w:after="120" w:line="480" w:lineRule="auto"/>
        <w:ind w:firstLine="720"/>
      </w:pPr>
      <w:r>
        <w:t xml:space="preserve">Our approach differs from that of Hedges and </w:t>
      </w:r>
      <w:proofErr w:type="spellStart"/>
      <w:r w:rsidRPr="009E5541">
        <w:t>O’Muircheartaigh</w:t>
      </w:r>
      <w:proofErr w:type="spellEnd"/>
      <w:r>
        <w:t xml:space="preserve"> (2011) in two ways.  First, Hedges and </w:t>
      </w:r>
      <w:proofErr w:type="spellStart"/>
      <w:r w:rsidRPr="009E5541">
        <w:t>O’Muircheartaigh</w:t>
      </w:r>
      <w:proofErr w:type="spellEnd"/>
      <w:r>
        <w:t xml:space="preserve"> project an estimate to a population outside the study, whereas we consider what would happen if the outside population were brought into the study.  In this sense Hedges and </w:t>
      </w:r>
      <w:proofErr w:type="spellStart"/>
      <w:r w:rsidRPr="009E5541">
        <w:t>O’Muircheartaigh</w:t>
      </w:r>
      <w:proofErr w:type="spellEnd"/>
      <w:r>
        <w:t xml:space="preserve"> appeal to differential treatment effects (e.g., Cronbach, 1982) and we seek to </w:t>
      </w:r>
      <w:r w:rsidR="00665DAC">
        <w:t xml:space="preserve">identify </w:t>
      </w:r>
      <w:r>
        <w:t>general effects across populations (e.g., Cook &amp; Campbell, 1979).</w:t>
      </w:r>
      <w:r w:rsidR="00665DAC">
        <w:t xml:space="preserve">  </w:t>
      </w:r>
    </w:p>
    <w:p w:rsidR="00D5328B" w:rsidRDefault="00665DAC" w:rsidP="00600529">
      <w:pPr>
        <w:widowControl w:val="0"/>
        <w:spacing w:after="120" w:line="480" w:lineRule="auto"/>
        <w:ind w:firstLine="720"/>
      </w:pPr>
      <w:r>
        <w:t xml:space="preserve">Second, Hedges and </w:t>
      </w:r>
      <w:proofErr w:type="spellStart"/>
      <w:r w:rsidRPr="009E5541">
        <w:t>O’Muircheartaigh</w:t>
      </w:r>
      <w:proofErr w:type="spellEnd"/>
      <w:r>
        <w:t xml:space="preserve"> assume one has all of the information about the unstudied target population that is both relevant for participation in the study and affects the treatment estimate.  This is similar to the strong assumption of </w:t>
      </w:r>
      <w:proofErr w:type="spellStart"/>
      <w:r>
        <w:t>ignorability</w:t>
      </w:r>
      <w:proofErr w:type="spellEnd"/>
      <w:r>
        <w:t xml:space="preserve"> (Rosenbaum &amp; Rubin, 1983) – that other factors can be ignored conditioning on the observed factors.  Thus the question can still arise as to how much unobserved factors could have affected participation in the study as well as the treatment effect.  </w:t>
      </w:r>
      <w:r w:rsidR="004C0FAC">
        <w:t xml:space="preserve">For example, there may be subtle unobserved factors that affected whether schools volunteered for Borman et al.’s study. </w:t>
      </w:r>
      <w:r>
        <w:t xml:space="preserve">And sensitivity to these factors can be assessed using our approach.  </w:t>
      </w:r>
    </w:p>
    <w:p w:rsidR="00344738" w:rsidRDefault="00344738" w:rsidP="00600529">
      <w:pPr>
        <w:widowControl w:val="0"/>
        <w:spacing w:after="120" w:line="480" w:lineRule="auto"/>
        <w:ind w:firstLine="720"/>
        <w:jc w:val="center"/>
        <w:rPr>
          <w:i/>
          <w:color w:val="000000"/>
        </w:rPr>
      </w:pPr>
      <w:r w:rsidRPr="00F56620">
        <w:rPr>
          <w:i/>
          <w:color w:val="000000"/>
        </w:rPr>
        <w:t>Other Sources of Bias</w:t>
      </w:r>
    </w:p>
    <w:p w:rsidR="00DD6C12" w:rsidRDefault="00DD6C12" w:rsidP="00DD6C12">
      <w:pPr>
        <w:widowControl w:val="0"/>
        <w:tabs>
          <w:tab w:val="left" w:pos="540"/>
        </w:tabs>
        <w:spacing w:line="480" w:lineRule="auto"/>
        <w:ind w:firstLine="360"/>
        <w:rPr>
          <w:color w:val="000000"/>
        </w:rPr>
      </w:pPr>
      <w:r>
        <w:rPr>
          <w:color w:val="000000"/>
        </w:rPr>
        <w:t xml:space="preserve">We </w:t>
      </w:r>
      <w:r w:rsidR="00D14D0B">
        <w:rPr>
          <w:color w:val="000000"/>
        </w:rPr>
        <w:t xml:space="preserve">attended to </w:t>
      </w:r>
      <w:r>
        <w:rPr>
          <w:color w:val="000000"/>
        </w:rPr>
        <w:t xml:space="preserve">two </w:t>
      </w:r>
      <w:r w:rsidR="00D14D0B">
        <w:rPr>
          <w:color w:val="000000"/>
        </w:rPr>
        <w:t xml:space="preserve">fundamental </w:t>
      </w:r>
      <w:r>
        <w:rPr>
          <w:color w:val="000000"/>
        </w:rPr>
        <w:t>sources of bias in using RCM to interpret the bias necessary to invalidate an inference</w:t>
      </w:r>
      <w:r w:rsidR="00D14D0B">
        <w:rPr>
          <w:color w:val="000000"/>
        </w:rPr>
        <w:t xml:space="preserve"> -- </w:t>
      </w:r>
      <w:r>
        <w:rPr>
          <w:color w:val="000000"/>
        </w:rPr>
        <w:t xml:space="preserve">restricted samples and non-random assignment to treatment. </w:t>
      </w:r>
      <w:r w:rsidR="00CA1BC8">
        <w:rPr>
          <w:color w:val="000000"/>
        </w:rPr>
        <w:t xml:space="preserve"> </w:t>
      </w:r>
      <w:r w:rsidR="00D14D0B">
        <w:rPr>
          <w:color w:val="000000"/>
        </w:rPr>
        <w:t xml:space="preserve">But </w:t>
      </w:r>
      <w:r w:rsidR="00D14D0B">
        <w:rPr>
          <w:color w:val="000000"/>
        </w:rPr>
        <w:lastRenderedPageBreak/>
        <w:t xml:space="preserve">bias </w:t>
      </w:r>
      <w:r w:rsidR="004C431F">
        <w:rPr>
          <w:color w:val="000000"/>
        </w:rPr>
        <w:t xml:space="preserve">can come </w:t>
      </w:r>
      <w:r w:rsidR="00D14D0B">
        <w:rPr>
          <w:color w:val="000000"/>
        </w:rPr>
        <w:t>from alternative sources</w:t>
      </w:r>
      <w:r w:rsidR="00CA1BC8">
        <w:rPr>
          <w:color w:val="000000"/>
        </w:rPr>
        <w:t xml:space="preserve">.  We briefly discuss three of those sources below: </w:t>
      </w:r>
      <w:r>
        <w:rPr>
          <w:color w:val="000000"/>
        </w:rPr>
        <w:t>violations of SUTVA, measurement error</w:t>
      </w:r>
      <w:r w:rsidR="00CA1BC8">
        <w:rPr>
          <w:color w:val="000000"/>
        </w:rPr>
        <w:t>,</w:t>
      </w:r>
      <w:r>
        <w:rPr>
          <w:color w:val="000000"/>
        </w:rPr>
        <w:t xml:space="preserve"> and differential treatment effects</w:t>
      </w:r>
      <w:r w:rsidR="00CA1BC8">
        <w:rPr>
          <w:color w:val="000000"/>
        </w:rPr>
        <w:t>.</w:t>
      </w:r>
    </w:p>
    <w:p w:rsidR="00143731" w:rsidRDefault="0015219D" w:rsidP="00D31823">
      <w:pPr>
        <w:widowControl w:val="0"/>
        <w:spacing w:line="480" w:lineRule="auto"/>
        <w:ind w:firstLine="720"/>
        <w:rPr>
          <w:color w:val="000000"/>
        </w:rPr>
      </w:pPr>
      <w:proofErr w:type="gramStart"/>
      <w:r>
        <w:rPr>
          <w:i/>
          <w:color w:val="000000"/>
        </w:rPr>
        <w:t>V</w:t>
      </w:r>
      <w:r w:rsidR="00C2742E" w:rsidRPr="00C2742E">
        <w:rPr>
          <w:i/>
          <w:color w:val="000000"/>
        </w:rPr>
        <w:t xml:space="preserve">iolations of </w:t>
      </w:r>
      <w:r w:rsidR="00395FD3" w:rsidRPr="00C2742E">
        <w:rPr>
          <w:i/>
          <w:color w:val="000000"/>
        </w:rPr>
        <w:t>SUTVA</w:t>
      </w:r>
      <w:r w:rsidR="00344738">
        <w:rPr>
          <w:i/>
          <w:color w:val="000000"/>
        </w:rPr>
        <w:t>.</w:t>
      </w:r>
      <w:proofErr w:type="gramEnd"/>
      <w:r w:rsidR="00344738">
        <w:rPr>
          <w:i/>
          <w:color w:val="000000"/>
        </w:rPr>
        <w:t xml:space="preserve"> </w:t>
      </w:r>
      <w:r w:rsidR="004B2D9F">
        <w:t xml:space="preserve">Our analysis </w:t>
      </w:r>
      <w:r w:rsidR="00FA1FF4">
        <w:t xml:space="preserve">concerns how </w:t>
      </w:r>
      <w:r w:rsidR="004B2D9F">
        <w:t xml:space="preserve">estimates </w:t>
      </w:r>
      <w:r w:rsidR="00FA1FF4">
        <w:t xml:space="preserve">would </w:t>
      </w:r>
      <w:r w:rsidR="004B2D9F">
        <w:t xml:space="preserve">change </w:t>
      </w:r>
      <w:r w:rsidR="00FA1FF4">
        <w:t xml:space="preserve">if </w:t>
      </w:r>
      <w:r w:rsidR="004B2D9F">
        <w:t xml:space="preserve">observations </w:t>
      </w:r>
      <w:r w:rsidR="00FA1FF4">
        <w:t>we</w:t>
      </w:r>
      <w:r w:rsidR="004B2D9F">
        <w:t>re replaced</w:t>
      </w:r>
      <w:r w:rsidR="004C431F">
        <w:t xml:space="preserve"> with hypothetical or counterfactual cases</w:t>
      </w:r>
      <w:r w:rsidR="004B2D9F">
        <w:t xml:space="preserve">.  But estimates could also change if observed outcomes changed </w:t>
      </w:r>
      <w:r w:rsidR="00114B26">
        <w:t>when others’ assignments were altered</w:t>
      </w:r>
      <w:r w:rsidR="0061549B">
        <w:t xml:space="preserve">. </w:t>
      </w:r>
      <w:r w:rsidR="00651AB5">
        <w:t>For example, the achievement of</w:t>
      </w:r>
      <w:r w:rsidR="004B2D9F">
        <w:t xml:space="preserve"> the students who were actually retained could change if some promoted students were retained.  </w:t>
      </w:r>
      <w:r w:rsidR="004B2D9F">
        <w:rPr>
          <w:color w:val="000000"/>
        </w:rPr>
        <w:t xml:space="preserve">This could occur if one child’s retention reduced the stigma of another, or competed with the resources, such as the attention of the teacher (Shepard &amp; Smith, 1989). </w:t>
      </w:r>
      <w:r w:rsidR="004C431F">
        <w:rPr>
          <w:color w:val="000000"/>
        </w:rPr>
        <w:t>C</w:t>
      </w:r>
      <w:r w:rsidR="004B2D9F">
        <w:rPr>
          <w:color w:val="000000"/>
        </w:rPr>
        <w:t>hanges in observed outcomes</w:t>
      </w:r>
      <w:r w:rsidR="004C0FAC">
        <w:rPr>
          <w:color w:val="000000"/>
        </w:rPr>
        <w:t xml:space="preserve"> as a result of other</w:t>
      </w:r>
      <w:r w:rsidR="004B2D9F">
        <w:rPr>
          <w:color w:val="000000"/>
        </w:rPr>
        <w:t>s</w:t>
      </w:r>
      <w:r w:rsidR="004C0FAC">
        <w:rPr>
          <w:color w:val="000000"/>
        </w:rPr>
        <w:t>’</w:t>
      </w:r>
      <w:r w:rsidR="004B2D9F">
        <w:rPr>
          <w:color w:val="000000"/>
        </w:rPr>
        <w:t xml:space="preserve"> assignments to treatment conditions constitute a violation of SUTVA</w:t>
      </w:r>
      <w:r w:rsidR="004C431F">
        <w:rPr>
          <w:color w:val="000000"/>
        </w:rPr>
        <w:t xml:space="preserve">, an assumption made for most inferences. </w:t>
      </w:r>
      <w:r w:rsidR="00A351D0">
        <w:rPr>
          <w:color w:val="000000"/>
        </w:rPr>
        <w:t xml:space="preserve">As such, there are some (recent) techniques to inform the implications of violations to SUTVA.  For example, one can use agent based models to explore the dynamic implications of changes in treatment assignments </w:t>
      </w:r>
      <w:r w:rsidR="004B2D9F">
        <w:rPr>
          <w:color w:val="000000"/>
        </w:rPr>
        <w:t>(e.g., Maroulis et al., 2010).</w:t>
      </w:r>
      <w:r w:rsidR="00651AB5">
        <w:rPr>
          <w:color w:val="000000"/>
        </w:rPr>
        <w:t xml:space="preserve"> </w:t>
      </w:r>
    </w:p>
    <w:p w:rsidR="004C431F" w:rsidRDefault="00344738" w:rsidP="004C431F">
      <w:pPr>
        <w:widowControl w:val="0"/>
        <w:tabs>
          <w:tab w:val="left" w:pos="540"/>
        </w:tabs>
        <w:spacing w:line="480" w:lineRule="auto"/>
        <w:ind w:firstLine="360"/>
      </w:pPr>
      <w:proofErr w:type="gramStart"/>
      <w:r>
        <w:rPr>
          <w:i/>
          <w:color w:val="000000"/>
        </w:rPr>
        <w:t>Measurement Error.</w:t>
      </w:r>
      <w:proofErr w:type="gramEnd"/>
      <w:r>
        <w:rPr>
          <w:i/>
          <w:color w:val="000000"/>
        </w:rPr>
        <w:t xml:space="preserve"> </w:t>
      </w:r>
      <w:r w:rsidR="00AD12B1">
        <w:rPr>
          <w:color w:val="000000"/>
        </w:rPr>
        <w:t xml:space="preserve">Error in measurement, especially of the outcomes, </w:t>
      </w:r>
      <w:r>
        <w:rPr>
          <w:color w:val="000000"/>
        </w:rPr>
        <w:t xml:space="preserve">could </w:t>
      </w:r>
      <w:r w:rsidR="004C431F">
        <w:rPr>
          <w:color w:val="000000"/>
        </w:rPr>
        <w:t xml:space="preserve">bias estimates. </w:t>
      </w:r>
      <w:r w:rsidR="004C431F">
        <w:t xml:space="preserve">Generally, measurement error will lead to conservative inferences because it reduces precision of estimates.  This might be preferred if one wanted to be cautious in implementing new programs.  But measurement error could hide a substantively important negative effect (an example of a type II error, failure to reject the null when in fact the null hypothesis is false).  </w:t>
      </w:r>
    </w:p>
    <w:p w:rsidR="009706D5" w:rsidRDefault="00D31823" w:rsidP="00CB3209">
      <w:pPr>
        <w:widowControl w:val="0"/>
        <w:tabs>
          <w:tab w:val="left" w:pos="540"/>
        </w:tabs>
        <w:spacing w:line="480" w:lineRule="auto"/>
        <w:ind w:firstLine="360"/>
        <w:rPr>
          <w:color w:val="000000"/>
        </w:rPr>
      </w:pPr>
      <w:r>
        <w:rPr>
          <w:color w:val="000000"/>
        </w:rPr>
        <w:t>Measurement error is not a large concern for the two focal examples in the article in which t</w:t>
      </w:r>
      <w:r w:rsidR="00114B26">
        <w:rPr>
          <w:color w:val="000000"/>
        </w:rPr>
        <w:t>he outcomes were measured with high reliability</w:t>
      </w:r>
      <w:r w:rsidR="004C431F">
        <w:rPr>
          <w:color w:val="000000"/>
        </w:rPr>
        <w:t>. T</w:t>
      </w:r>
      <w:r w:rsidR="00344738">
        <w:t xml:space="preserve">he </w:t>
      </w:r>
      <w:r w:rsidR="00114B26">
        <w:t xml:space="preserve">reliability of the </w:t>
      </w:r>
      <w:r w:rsidR="00344738">
        <w:t>Terra Nova comprehensive reading test used by Borman et al was very high (</w:t>
      </w:r>
      <w:r w:rsidR="004C431F">
        <w:t>.</w:t>
      </w:r>
      <w:r w:rsidR="00344738">
        <w:t>84 to .93 across grades 3-6 --</w:t>
      </w:r>
      <w:r w:rsidR="00344738">
        <w:rPr>
          <w:color w:val="000000"/>
        </w:rPr>
        <w:t xml:space="preserve">SRA/McGraw-Hill, 2001), and would likely be higher at the classroom level given fairly large sample sizes per classroom (see Brennan, 1995, for a discussion). </w:t>
      </w:r>
      <w:proofErr w:type="gramStart"/>
      <w:r w:rsidR="00344738">
        <w:rPr>
          <w:color w:val="000000"/>
        </w:rPr>
        <w:t xml:space="preserve">Similarly, the test </w:t>
      </w:r>
      <w:r w:rsidR="00D14D0B">
        <w:rPr>
          <w:color w:val="000000"/>
        </w:rPr>
        <w:t xml:space="preserve">used </w:t>
      </w:r>
      <w:r w:rsidR="00344738">
        <w:rPr>
          <w:color w:val="000000"/>
        </w:rPr>
        <w:t xml:space="preserve">by </w:t>
      </w:r>
      <w:r w:rsidR="00344738">
        <w:rPr>
          <w:color w:val="000000"/>
        </w:rPr>
        <w:lastRenderedPageBreak/>
        <w:t xml:space="preserve">Hong and Raudenbush had a reliability of .95 </w:t>
      </w:r>
      <w:r w:rsidR="00344738">
        <w:t>(based on the variance of repeated estimates of overall ability --see ECLS-K user guide, section 3.1.6).</w:t>
      </w:r>
      <w:proofErr w:type="gramEnd"/>
      <w:r w:rsidR="00344738">
        <w:t xml:space="preserve">  </w:t>
      </w:r>
      <w:r w:rsidR="00344738">
        <w:rPr>
          <w:color w:val="000000"/>
        </w:rPr>
        <w:t xml:space="preserve"> Furthermore, both Borman et al., and Hong and Raudenbush increased precision by controlling for a pre-test (which also could reduce the potential for non-normality – see Borman et al., page 400). </w:t>
      </w:r>
      <w:r w:rsidR="00CB3209">
        <w:rPr>
          <w:color w:val="000000"/>
        </w:rPr>
        <w:t xml:space="preserve"> </w:t>
      </w:r>
    </w:p>
    <w:p w:rsidR="004A556C" w:rsidRDefault="00AD12B1" w:rsidP="00341986">
      <w:pPr>
        <w:widowControl w:val="0"/>
        <w:tabs>
          <w:tab w:val="left" w:pos="540"/>
        </w:tabs>
        <w:spacing w:after="120" w:line="480" w:lineRule="auto"/>
        <w:ind w:firstLine="360"/>
        <w:rPr>
          <w:color w:val="000000"/>
        </w:rPr>
      </w:pPr>
      <w:proofErr w:type="gramStart"/>
      <w:r>
        <w:rPr>
          <w:i/>
          <w:color w:val="000000"/>
        </w:rPr>
        <w:t>Differential Treatment Effects</w:t>
      </w:r>
      <w:r>
        <w:rPr>
          <w:color w:val="000000"/>
        </w:rPr>
        <w:t>.</w:t>
      </w:r>
      <w:proofErr w:type="gramEnd"/>
      <w:r>
        <w:rPr>
          <w:color w:val="000000"/>
        </w:rPr>
        <w:t xml:space="preserve">  To isolate the b</w:t>
      </w:r>
      <w:r w:rsidR="00672575">
        <w:rPr>
          <w:color w:val="000000"/>
        </w:rPr>
        <w:t xml:space="preserve">ias due to baseline differences, </w:t>
      </w:r>
      <w:r>
        <w:rPr>
          <w:color w:val="000000"/>
        </w:rPr>
        <w:t xml:space="preserve">we assumed that the treatment </w:t>
      </w:r>
      <w:r w:rsidR="004C0FAC">
        <w:rPr>
          <w:color w:val="000000"/>
        </w:rPr>
        <w:t xml:space="preserve">effect </w:t>
      </w:r>
      <w:r>
        <w:rPr>
          <w:color w:val="000000"/>
        </w:rPr>
        <w:t xml:space="preserve">for the treated equaled the treatment effect for the control. </w:t>
      </w:r>
      <w:r w:rsidR="00672575">
        <w:rPr>
          <w:color w:val="000000"/>
        </w:rPr>
        <w:t xml:space="preserve">This would be violated if </w:t>
      </w:r>
      <w:r w:rsidR="004C431F">
        <w:rPr>
          <w:color w:val="000000"/>
        </w:rPr>
        <w:t>people cho</w:t>
      </w:r>
      <w:r>
        <w:rPr>
          <w:color w:val="000000"/>
        </w:rPr>
        <w:t>se treatments that are likely to be good for them for idiosyncratic or difficult to observe reasons</w:t>
      </w:r>
      <w:r w:rsidR="00672575">
        <w:rPr>
          <w:color w:val="000000"/>
        </w:rPr>
        <w:t xml:space="preserve"> (Heckman, 2005; </w:t>
      </w:r>
      <w:proofErr w:type="gramStart"/>
      <w:r w:rsidR="008050EF">
        <w:t>Heckman ,</w:t>
      </w:r>
      <w:proofErr w:type="gramEnd"/>
      <w:r w:rsidR="008050EF">
        <w:t xml:space="preserve"> </w:t>
      </w:r>
      <w:proofErr w:type="spellStart"/>
      <w:r w:rsidR="008050EF">
        <w:t>Urzua</w:t>
      </w:r>
      <w:proofErr w:type="spellEnd"/>
      <w:r w:rsidR="008050EF">
        <w:t xml:space="preserve"> &amp; </w:t>
      </w:r>
      <w:proofErr w:type="spellStart"/>
      <w:r w:rsidR="008050EF">
        <w:t>Vytlacil</w:t>
      </w:r>
      <w:proofErr w:type="spellEnd"/>
      <w:r w:rsidR="008050EF">
        <w:t>, 2006)</w:t>
      </w:r>
      <w:r>
        <w:rPr>
          <w:color w:val="000000"/>
        </w:rPr>
        <w:t xml:space="preserve">.  For example, </w:t>
      </w:r>
      <w:r w:rsidR="00BE2FEB">
        <w:rPr>
          <w:color w:val="000000"/>
        </w:rPr>
        <w:t xml:space="preserve">Hong and </w:t>
      </w:r>
      <w:proofErr w:type="spellStart"/>
      <w:r w:rsidR="00BE2FEB">
        <w:rPr>
          <w:color w:val="000000"/>
        </w:rPr>
        <w:t>Raudenbush’s</w:t>
      </w:r>
      <w:proofErr w:type="spellEnd"/>
      <w:r w:rsidR="00BE2FEB">
        <w:rPr>
          <w:color w:val="000000"/>
        </w:rPr>
        <w:t xml:space="preserve"> estimated effect of kindergarten retention could be upwardly biased if those who were retained might have benefitted more (or suffered less) from retention than those who were </w:t>
      </w:r>
      <w:r w:rsidR="00C340E2">
        <w:rPr>
          <w:color w:val="000000"/>
        </w:rPr>
        <w:t>promoted</w:t>
      </w:r>
      <w:r w:rsidR="004C0FAC">
        <w:rPr>
          <w:color w:val="000000"/>
        </w:rPr>
        <w:t xml:space="preserve"> for </w:t>
      </w:r>
      <w:r w:rsidR="00BE2FEB">
        <w:rPr>
          <w:color w:val="000000"/>
        </w:rPr>
        <w:t xml:space="preserve">subtle idiosyncratic </w:t>
      </w:r>
      <w:r w:rsidR="004C0FAC">
        <w:rPr>
          <w:color w:val="000000"/>
        </w:rPr>
        <w:t>reasons.</w:t>
      </w:r>
      <w:r w:rsidR="004C431F">
        <w:rPr>
          <w:color w:val="000000"/>
        </w:rPr>
        <w:t xml:space="preserve"> </w:t>
      </w:r>
      <w:r w:rsidR="00D31823">
        <w:rPr>
          <w:color w:val="000000"/>
        </w:rPr>
        <w:t xml:space="preserve">In response, one could use </w:t>
      </w:r>
      <w:r w:rsidR="004C431F">
        <w:rPr>
          <w:color w:val="000000"/>
        </w:rPr>
        <w:t xml:space="preserve">propensity score techniques to separately estimate treatment effects for the treated </w:t>
      </w:r>
      <w:r w:rsidR="00114B26">
        <w:rPr>
          <w:color w:val="000000"/>
        </w:rPr>
        <w:t xml:space="preserve">and </w:t>
      </w:r>
      <w:r w:rsidR="004C431F">
        <w:rPr>
          <w:color w:val="000000"/>
        </w:rPr>
        <w:t>for the control (e.g. Morgan, 2001).  After doing so, one could apply our framework to either estimate (e.g. Frank, Sykes et al., 2008).</w:t>
      </w:r>
    </w:p>
    <w:p w:rsidR="00222B9D" w:rsidRPr="005A387E" w:rsidRDefault="00CA56A0" w:rsidP="00341986">
      <w:pPr>
        <w:widowControl w:val="0"/>
        <w:spacing w:after="120" w:line="480" w:lineRule="auto"/>
        <w:ind w:firstLine="720"/>
        <w:jc w:val="center"/>
        <w:rPr>
          <w:i/>
        </w:rPr>
      </w:pPr>
      <w:r>
        <w:rPr>
          <w:b/>
        </w:rPr>
        <w:t>Conclusion</w:t>
      </w:r>
    </w:p>
    <w:p w:rsidR="005A7866" w:rsidRDefault="00CA1BC8" w:rsidP="005A7866">
      <w:pPr>
        <w:widowControl w:val="0"/>
        <w:spacing w:line="480" w:lineRule="auto"/>
        <w:ind w:firstLine="720"/>
        <w:rPr>
          <w:rFonts w:eastAsia="+mn-ea" w:cs="Arial"/>
        </w:rPr>
      </w:pPr>
      <w:r>
        <w:t>C</w:t>
      </w:r>
      <w:r w:rsidR="002F5B38">
        <w:t xml:space="preserve">ausal inference </w:t>
      </w:r>
      <w:r w:rsidR="00116518">
        <w:t xml:space="preserve">in policy analysis </w:t>
      </w:r>
      <w:r w:rsidR="00254E1F">
        <w:t xml:space="preserve">does </w:t>
      </w:r>
      <w:r w:rsidR="002F5B38">
        <w:t>not depend on a single researcher</w:t>
      </w:r>
      <w:r w:rsidR="00254E1F">
        <w:t xml:space="preserve"> or study</w:t>
      </w:r>
      <w:r w:rsidR="002F5B38">
        <w:t xml:space="preserve">. </w:t>
      </w:r>
      <w:r w:rsidR="009706D5">
        <w:t>F</w:t>
      </w:r>
      <w:r w:rsidR="00254E1F">
        <w:t xml:space="preserve">or education research </w:t>
      </w:r>
      <w:r w:rsidR="002F5B38">
        <w:t xml:space="preserve">to inform policy </w:t>
      </w:r>
      <w:r w:rsidR="00254E1F">
        <w:t xml:space="preserve">it should </w:t>
      </w:r>
      <w:r w:rsidR="002F5B38">
        <w:t xml:space="preserve">emerge through debate among a community </w:t>
      </w:r>
      <w:r w:rsidR="00254E1F">
        <w:t xml:space="preserve">of scholars </w:t>
      </w:r>
      <w:r w:rsidR="00D31823">
        <w:t xml:space="preserve">about the relative merits of different studies </w:t>
      </w:r>
      <w:r w:rsidR="002F5B38">
        <w:t xml:space="preserve">(e.g., </w:t>
      </w:r>
      <w:r w:rsidR="002F5B38">
        <w:rPr>
          <w:rFonts w:ascii="TimesNewRoman" w:hAnsi="TimesNewRoman"/>
        </w:rPr>
        <w:t xml:space="preserve">Greco, 2009; </w:t>
      </w:r>
      <w:proofErr w:type="spellStart"/>
      <w:r w:rsidR="002F5B38">
        <w:rPr>
          <w:rFonts w:ascii="TimesNewRoman" w:hAnsi="TimesNewRoman"/>
        </w:rPr>
        <w:t>Habermas</w:t>
      </w:r>
      <w:proofErr w:type="spellEnd"/>
      <w:r w:rsidR="002F5B38">
        <w:rPr>
          <w:rFonts w:ascii="TimesNewRoman" w:hAnsi="TimesNewRoman"/>
        </w:rPr>
        <w:t xml:space="preserve">, </w:t>
      </w:r>
      <w:r w:rsidR="002F5B38">
        <w:t xml:space="preserve">1987; </w:t>
      </w:r>
      <w:r w:rsidR="002F5B38">
        <w:rPr>
          <w:rFonts w:ascii="TimesNewRoman" w:hAnsi="TimesNewRoman"/>
        </w:rPr>
        <w:t xml:space="preserve">Kuhn, 1962; </w:t>
      </w:r>
      <w:proofErr w:type="spellStart"/>
      <w:r w:rsidR="002F5B38">
        <w:rPr>
          <w:rFonts w:ascii="TimesNewRoman" w:hAnsi="TimesNewRoman"/>
        </w:rPr>
        <w:t>Kvanig</w:t>
      </w:r>
      <w:proofErr w:type="spellEnd"/>
      <w:r w:rsidR="002F5B38">
        <w:rPr>
          <w:rFonts w:ascii="TimesNewRoman" w:hAnsi="TimesNewRoman"/>
        </w:rPr>
        <w:t>, 2003; Sosa, 2007)</w:t>
      </w:r>
      <w:r w:rsidR="002F5B38">
        <w:t xml:space="preserve">. </w:t>
      </w:r>
      <w:r w:rsidR="00CA3EDC">
        <w:t xml:space="preserve"> </w:t>
      </w:r>
      <w:r w:rsidR="005A7866">
        <w:t xml:space="preserve">Campbell’s law (1976) states: </w:t>
      </w:r>
      <w:r w:rsidR="005A7866" w:rsidRPr="005A7866">
        <w:rPr>
          <w:rFonts w:eastAsia="+mn-ea" w:cs="Arial"/>
        </w:rPr>
        <w:t>“The more any quantitative social indicator is used for social decision-making, the more subject it will be to corruption pressures and the more apt it will be to distort and corrupt the social proc</w:t>
      </w:r>
      <w:r w:rsidR="00207253">
        <w:rPr>
          <w:rFonts w:eastAsia="+mn-ea" w:cs="Arial"/>
        </w:rPr>
        <w:t>esses it is intended to monitor</w:t>
      </w:r>
      <w:r w:rsidR="005A7866" w:rsidRPr="005A7866">
        <w:rPr>
          <w:rFonts w:eastAsia="+mn-ea" w:cs="Arial"/>
        </w:rPr>
        <w:t xml:space="preserve">” </w:t>
      </w:r>
      <w:r w:rsidR="00207253">
        <w:rPr>
          <w:rFonts w:eastAsia="+mn-ea" w:cs="Arial"/>
        </w:rPr>
        <w:t xml:space="preserve"> (page 49). </w:t>
      </w:r>
      <w:r w:rsidR="005A7866">
        <w:rPr>
          <w:rFonts w:eastAsia="+mn-ea" w:cs="Arial"/>
        </w:rPr>
        <w:t xml:space="preserve"> Our corollary is </w:t>
      </w:r>
      <w:r w:rsidR="005A7866" w:rsidRPr="005A7866">
        <w:rPr>
          <w:rFonts w:eastAsia="+mn-ea" w:cs="Arial"/>
        </w:rPr>
        <w:t xml:space="preserve">“The more any quantitative social indicator is used for social decision-making, the </w:t>
      </w:r>
      <w:r w:rsidR="00207253">
        <w:rPr>
          <w:rFonts w:eastAsia="+mn-ea" w:cs="Arial"/>
        </w:rPr>
        <w:t xml:space="preserve">greater will be the intensity of debate about the inference made from </w:t>
      </w:r>
      <w:r w:rsidR="00207253">
        <w:rPr>
          <w:rFonts w:eastAsia="+mn-ea" w:cs="Arial"/>
        </w:rPr>
        <w:lastRenderedPageBreak/>
        <w:t>the indicator.”</w:t>
      </w:r>
    </w:p>
    <w:p w:rsidR="008B3B2A" w:rsidRDefault="005A7866" w:rsidP="00CA3EDC">
      <w:pPr>
        <w:widowControl w:val="0"/>
        <w:spacing w:line="480" w:lineRule="auto"/>
        <w:ind w:firstLine="720"/>
      </w:pPr>
      <w:r>
        <w:t>Therefore, w</w:t>
      </w:r>
      <w:r w:rsidR="00116518">
        <w:t xml:space="preserve">e </w:t>
      </w:r>
      <w:r w:rsidR="00D31823">
        <w:t xml:space="preserve">informed debate </w:t>
      </w:r>
      <w:r>
        <w:t xml:space="preserve">about causal inferences </w:t>
      </w:r>
      <w:r w:rsidR="00D31823">
        <w:t xml:space="preserve">by quantifying </w:t>
      </w:r>
      <w:r w:rsidR="00A178A6">
        <w:t xml:space="preserve">the </w:t>
      </w:r>
      <w:r w:rsidR="004C431F">
        <w:t xml:space="preserve">discourse about </w:t>
      </w:r>
      <w:r w:rsidR="00A178A6">
        <w:t xml:space="preserve">the robustness of </w:t>
      </w:r>
      <w:r>
        <w:t xml:space="preserve">the </w:t>
      </w:r>
      <w:r w:rsidR="004C431F">
        <w:t>inference</w:t>
      </w:r>
      <w:r w:rsidR="00A178A6">
        <w:t xml:space="preserve">, and we </w:t>
      </w:r>
      <w:r w:rsidR="00116518">
        <w:t>provided a</w:t>
      </w:r>
      <w:r w:rsidR="00672575">
        <w:t xml:space="preserve"> framework </w:t>
      </w:r>
      <w:r w:rsidR="00755D49">
        <w:t xml:space="preserve">to </w:t>
      </w:r>
      <w:r w:rsidR="00A178A6">
        <w:t>interpret the robustness</w:t>
      </w:r>
      <w:r w:rsidR="00116518">
        <w:t xml:space="preserve">. </w:t>
      </w:r>
      <w:r w:rsidR="00672575">
        <w:t xml:space="preserve"> When discussing concerns about an observational study researchers can speak in terms of the proportion of the cases that would have to be replaced with counterfactual</w:t>
      </w:r>
      <w:r w:rsidR="009706D5">
        <w:t xml:space="preserve"> data </w:t>
      </w:r>
      <w:r w:rsidR="00672575">
        <w:t>to invalidate the inference</w:t>
      </w:r>
      <w:r w:rsidR="0008219D">
        <w:t>;</w:t>
      </w:r>
      <w:r w:rsidR="00672575">
        <w:t xml:space="preserve"> and when discussing concerns about the generality of effects from a randomized experiment researchers can speak in terms of the proportion of the sample that would have to be replaced </w:t>
      </w:r>
      <w:r w:rsidR="00DC76D2">
        <w:t>to represent</w:t>
      </w:r>
      <w:r w:rsidR="00672575">
        <w:t xml:space="preserve"> a population not sampled.</w:t>
      </w:r>
      <w:r w:rsidR="008B3B2A">
        <w:t xml:space="preserve">  Over time, it is our hope that </w:t>
      </w:r>
      <w:r w:rsidR="0008219D">
        <w:t xml:space="preserve">the repeated characterization of robustness in such terms can </w:t>
      </w:r>
      <w:r w:rsidR="008B3B2A">
        <w:t xml:space="preserve">contribute to a general language </w:t>
      </w:r>
      <w:r w:rsidR="0008219D">
        <w:t xml:space="preserve">for debating </w:t>
      </w:r>
      <w:r w:rsidR="008B3B2A">
        <w:t xml:space="preserve">inferences from </w:t>
      </w:r>
      <w:r w:rsidR="009706D5">
        <w:t xml:space="preserve">educational </w:t>
      </w:r>
      <w:r w:rsidR="008B3B2A">
        <w:t>research.</w:t>
      </w:r>
      <w:r w:rsidR="008B3B2A">
        <w:br w:type="page"/>
      </w:r>
    </w:p>
    <w:p w:rsidR="00AF78EA" w:rsidRDefault="00AF78EA" w:rsidP="00AF78EA">
      <w:pPr>
        <w:spacing w:line="480" w:lineRule="auto"/>
        <w:jc w:val="center"/>
        <w:rPr>
          <w:b/>
        </w:rPr>
      </w:pPr>
      <w:bookmarkStart w:id="5" w:name="OLE_LINK5"/>
      <w:bookmarkStart w:id="6" w:name="OLE_LINK6"/>
      <w:r w:rsidRPr="00816C58">
        <w:rPr>
          <w:b/>
        </w:rPr>
        <w:lastRenderedPageBreak/>
        <w:t>Technical Appendix</w:t>
      </w:r>
      <w:r w:rsidR="00D23136">
        <w:rPr>
          <w:b/>
        </w:rPr>
        <w:t xml:space="preserve"> A (can be made available only on-line)</w:t>
      </w:r>
    </w:p>
    <w:p w:rsidR="00AF78EA" w:rsidRPr="00816C58" w:rsidRDefault="00AF78EA" w:rsidP="00AF78EA">
      <w:pPr>
        <w:spacing w:line="480" w:lineRule="auto"/>
        <w:jc w:val="center"/>
        <w:rPr>
          <w:b/>
        </w:rPr>
      </w:pPr>
      <w:r>
        <w:rPr>
          <w:b/>
        </w:rPr>
        <w:t>Deriving Expressions for Bias Using RCM</w:t>
      </w:r>
    </w:p>
    <w:p w:rsidR="00AF78EA" w:rsidRPr="00826A88" w:rsidRDefault="00AF78EA" w:rsidP="00AF78EA">
      <w:pPr>
        <w:spacing w:line="480" w:lineRule="auto"/>
        <w:jc w:val="center"/>
        <w:rPr>
          <w:i/>
        </w:rPr>
      </w:pPr>
      <w:r w:rsidRPr="00826A88">
        <w:rPr>
          <w:i/>
        </w:rPr>
        <w:t xml:space="preserve">Bias due to Non-Random Assignment </w:t>
      </w:r>
      <w:r>
        <w:rPr>
          <w:i/>
        </w:rPr>
        <w:t>to Treatments</w:t>
      </w:r>
    </w:p>
    <w:p w:rsidR="00147FD9" w:rsidRDefault="00147FD9" w:rsidP="00E43545">
      <w:pPr>
        <w:spacing w:line="480" w:lineRule="auto"/>
        <w:ind w:firstLine="720"/>
      </w:pPr>
      <w:r>
        <w:t>To focus on the bias due to non-random assignment to treatments, we use RCM to decompose the population treatment effect</w:t>
      </w:r>
      <w:proofErr w:type="gramStart"/>
      <w:r>
        <w:t xml:space="preserve">, </w:t>
      </w:r>
      <w:proofErr w:type="gramEnd"/>
      <w:r w:rsidRPr="008A0275">
        <w:rPr>
          <w:position w:val="-6"/>
          <w:sz w:val="20"/>
        </w:rPr>
        <w:object w:dxaOrig="200" w:dyaOrig="320">
          <v:shape id="_x0000_i1078" type="#_x0000_t75" style="width:9.75pt;height:15.75pt" o:ole="" fillcolor="window">
            <v:imagedata r:id="rId35" o:title=""/>
          </v:shape>
          <o:OLEObject Type="Embed" ProgID="Equation.DSMT4" ShapeID="_x0000_i1078" DrawAspect="Content" ObjectID="_1478976195" r:id="rId79"/>
        </w:object>
      </w:r>
      <w:r w:rsidR="00523E1E">
        <w:fldChar w:fldCharType="begin"/>
      </w:r>
      <w:r>
        <w:instrText>EQ \O()</w:instrText>
      </w:r>
      <w:r w:rsidR="00523E1E">
        <w:fldChar w:fldCharType="end"/>
      </w:r>
      <w:r>
        <w:t xml:space="preserve">, into two components (e.g., Heckman, 2005; Winship &amp; Morgan, 1999): </w:t>
      </w:r>
      <w:r w:rsidRPr="008A0275">
        <w:rPr>
          <w:position w:val="-6"/>
          <w:sz w:val="20"/>
        </w:rPr>
        <w:object w:dxaOrig="200" w:dyaOrig="320">
          <v:shape id="_x0000_i1079" type="#_x0000_t75" style="width:9.75pt;height:15.75pt" o:ole="" fillcolor="window">
            <v:imagedata r:id="rId35" o:title=""/>
          </v:shape>
          <o:OLEObject Type="Embed" ProgID="Equation.DSMT4" ShapeID="_x0000_i1079" DrawAspect="Content" ObjectID="_1478976196" r:id="rId80"/>
        </w:object>
      </w:r>
      <w:r w:rsidR="00523E1E">
        <w:fldChar w:fldCharType="begin"/>
      </w:r>
      <w:r>
        <w:instrText>EQ \O()</w:instrText>
      </w:r>
      <w:r w:rsidR="00523E1E">
        <w:fldChar w:fldCharType="end"/>
      </w:r>
      <w:r w:rsidRPr="00CC2489">
        <w:rPr>
          <w:i/>
          <w:vertAlign w:val="superscript"/>
        </w:rPr>
        <w:t>t</w:t>
      </w:r>
      <w:r>
        <w:t xml:space="preserve">, the treatment effect for those in the treatment group, and </w:t>
      </w:r>
      <w:r w:rsidRPr="008A0275">
        <w:rPr>
          <w:position w:val="-6"/>
          <w:sz w:val="20"/>
        </w:rPr>
        <w:object w:dxaOrig="200" w:dyaOrig="320">
          <v:shape id="_x0000_i1080" type="#_x0000_t75" style="width:9.75pt;height:15.75pt" o:ole="" fillcolor="window">
            <v:imagedata r:id="rId35" o:title=""/>
          </v:shape>
          <o:OLEObject Type="Embed" ProgID="Equation.DSMT4" ShapeID="_x0000_i1080" DrawAspect="Content" ObjectID="_1478976197" r:id="rId81"/>
        </w:object>
      </w:r>
      <w:r w:rsidRPr="00CC2489">
        <w:rPr>
          <w:i/>
          <w:vertAlign w:val="superscript"/>
        </w:rPr>
        <w:t>c</w:t>
      </w:r>
      <w:r>
        <w:t xml:space="preserve">, the treatment effect for those in the control group. </w:t>
      </w:r>
      <w:r w:rsidR="00E43545">
        <w:t xml:space="preserve">Therefore </w:t>
      </w:r>
      <w:r>
        <w:t>the average treatment effect</w:t>
      </w:r>
      <w:proofErr w:type="gramStart"/>
      <w:r>
        <w:t>,</w:t>
      </w:r>
      <w:r w:rsidRPr="00E7561A">
        <w:rPr>
          <w:position w:val="-6"/>
          <w:sz w:val="20"/>
        </w:rPr>
        <w:t xml:space="preserve"> </w:t>
      </w:r>
      <w:r w:rsidRPr="008A0275">
        <w:rPr>
          <w:position w:val="-6"/>
          <w:sz w:val="20"/>
        </w:rPr>
        <w:object w:dxaOrig="200" w:dyaOrig="320">
          <v:shape id="_x0000_i1081" type="#_x0000_t75" style="width:9.75pt;height:15.75pt" o:ole="" fillcolor="window">
            <v:imagedata r:id="rId35" o:title=""/>
          </v:shape>
          <o:OLEObject Type="Embed" ProgID="Equation.DSMT4" ShapeID="_x0000_i1081" DrawAspect="Content" ObjectID="_1478976198" r:id="rId82"/>
        </w:object>
      </w:r>
      <w:r>
        <w:t xml:space="preserve"> , is </w:t>
      </w:r>
    </w:p>
    <w:p w:rsidR="00147FD9" w:rsidRDefault="00147FD9" w:rsidP="00147FD9">
      <w:pPr>
        <w:spacing w:line="480" w:lineRule="auto"/>
        <w:ind w:firstLine="720"/>
      </w:pPr>
      <w:r w:rsidRPr="008A0275">
        <w:rPr>
          <w:position w:val="-6"/>
          <w:sz w:val="20"/>
        </w:rPr>
        <w:object w:dxaOrig="200" w:dyaOrig="320">
          <v:shape id="_x0000_i1082" type="#_x0000_t75" style="width:9.75pt;height:15.75pt" o:ole="" fillcolor="window">
            <v:imagedata r:id="rId35" o:title=""/>
          </v:shape>
          <o:OLEObject Type="Embed" ProgID="Equation.DSMT4" ShapeID="_x0000_i1082" DrawAspect="Content" ObjectID="_1478976199" r:id="rId83"/>
        </w:object>
      </w:r>
      <w:r w:rsidRPr="00E7561A">
        <w:t xml:space="preserve"> </w:t>
      </w:r>
      <w:r>
        <w:t>= π</w:t>
      </w:r>
      <w:r w:rsidRPr="00C32414">
        <w:rPr>
          <w:i/>
          <w:vertAlign w:val="superscript"/>
        </w:rPr>
        <w:t xml:space="preserve"> </w:t>
      </w:r>
      <w:r w:rsidRPr="00CC2489">
        <w:rPr>
          <w:i/>
          <w:vertAlign w:val="superscript"/>
        </w:rPr>
        <w:t>t</w:t>
      </w:r>
      <w:r w:rsidRPr="008A0275">
        <w:rPr>
          <w:position w:val="-6"/>
          <w:sz w:val="20"/>
        </w:rPr>
        <w:t xml:space="preserve"> </w:t>
      </w:r>
      <w:r w:rsidRPr="008A0275">
        <w:rPr>
          <w:position w:val="-6"/>
          <w:sz w:val="20"/>
        </w:rPr>
        <w:object w:dxaOrig="200" w:dyaOrig="320">
          <v:shape id="_x0000_i1083" type="#_x0000_t75" style="width:9.75pt;height:15.75pt" o:ole="" fillcolor="window">
            <v:imagedata r:id="rId35" o:title=""/>
          </v:shape>
          <o:OLEObject Type="Embed" ProgID="Equation.DSMT4" ShapeID="_x0000_i1083" DrawAspect="Content" ObjectID="_1478976200" r:id="rId84"/>
        </w:object>
      </w:r>
      <w:r w:rsidR="00523E1E">
        <w:fldChar w:fldCharType="begin"/>
      </w:r>
      <w:r>
        <w:instrText>EQ \O()</w:instrText>
      </w:r>
      <w:r w:rsidR="00523E1E">
        <w:fldChar w:fldCharType="end"/>
      </w:r>
      <w:proofErr w:type="spellStart"/>
      <w:r w:rsidRPr="00CC2489">
        <w:rPr>
          <w:i/>
          <w:vertAlign w:val="superscript"/>
        </w:rPr>
        <w:t>t</w:t>
      </w:r>
      <w:proofErr w:type="spellEnd"/>
      <w:r>
        <w:t xml:space="preserve"> </w:t>
      </w:r>
      <w:proofErr w:type="gramStart"/>
      <w:r>
        <w:t>+(</w:t>
      </w:r>
      <w:proofErr w:type="gramEnd"/>
      <w:r>
        <w:t>1−π</w:t>
      </w:r>
      <w:r w:rsidRPr="00C32414">
        <w:rPr>
          <w:i/>
          <w:vertAlign w:val="superscript"/>
        </w:rPr>
        <w:t xml:space="preserve"> </w:t>
      </w:r>
      <w:r w:rsidRPr="00CC2489">
        <w:rPr>
          <w:i/>
          <w:vertAlign w:val="superscript"/>
        </w:rPr>
        <w:t>t</w:t>
      </w:r>
      <w:r>
        <w:t>)</w:t>
      </w:r>
      <w:r w:rsidRPr="008A0275">
        <w:rPr>
          <w:position w:val="-6"/>
          <w:sz w:val="20"/>
        </w:rPr>
        <w:object w:dxaOrig="200" w:dyaOrig="320">
          <v:shape id="_x0000_i1084" type="#_x0000_t75" style="width:9.75pt;height:15.75pt" o:ole="" fillcolor="window">
            <v:imagedata r:id="rId35" o:title=""/>
          </v:shape>
          <o:OLEObject Type="Embed" ProgID="Equation.DSMT4" ShapeID="_x0000_i1084" DrawAspect="Content" ObjectID="_1478976201" r:id="rId85"/>
        </w:object>
      </w:r>
      <w:r w:rsidR="00523E1E">
        <w:fldChar w:fldCharType="begin"/>
      </w:r>
      <w:r>
        <w:instrText>EQ \O()</w:instrText>
      </w:r>
      <w:r w:rsidR="00523E1E">
        <w:fldChar w:fldCharType="end"/>
      </w:r>
      <w:r w:rsidRPr="00CC2489">
        <w:rPr>
          <w:i/>
          <w:vertAlign w:val="superscript"/>
        </w:rPr>
        <w:t>c</w:t>
      </w:r>
      <w:r>
        <w:rPr>
          <w:vertAlign w:val="subscript"/>
        </w:rPr>
        <w:t>,</w:t>
      </w:r>
      <w:r w:rsidR="00E43545">
        <w:t xml:space="preserve">  (A1</w:t>
      </w:r>
      <w:r>
        <w:t>)</w:t>
      </w:r>
    </w:p>
    <w:p w:rsidR="00AF78EA" w:rsidRDefault="00147FD9" w:rsidP="00AF78EA">
      <w:pPr>
        <w:spacing w:line="480" w:lineRule="auto"/>
      </w:pPr>
      <w:proofErr w:type="gramStart"/>
      <w:r>
        <w:t>where</w:t>
      </w:r>
      <w:proofErr w:type="gramEnd"/>
      <w:r>
        <w:t xml:space="preserve"> π</w:t>
      </w:r>
      <w:r w:rsidRPr="00CC2489">
        <w:rPr>
          <w:i/>
          <w:vertAlign w:val="superscript"/>
        </w:rPr>
        <w:t>t</w:t>
      </w:r>
      <w:r>
        <w:t xml:space="preserve"> represents the proportion in the population who received the treatment.  Thus </w:t>
      </w:r>
      <w:r w:rsidRPr="008A0275">
        <w:rPr>
          <w:position w:val="-6"/>
          <w:sz w:val="20"/>
        </w:rPr>
        <w:object w:dxaOrig="200" w:dyaOrig="320">
          <v:shape id="_x0000_i1085" type="#_x0000_t75" style="width:9.75pt;height:15.75pt" o:ole="" fillcolor="window">
            <v:imagedata r:id="rId35" o:title=""/>
          </v:shape>
          <o:OLEObject Type="Embed" ProgID="Equation.DSMT4" ShapeID="_x0000_i1085" DrawAspect="Content" ObjectID="_1478976202" r:id="rId86"/>
        </w:object>
      </w:r>
      <w:r w:rsidR="00523E1E">
        <w:fldChar w:fldCharType="begin"/>
      </w:r>
      <w:r>
        <w:instrText>EQ \O()</w:instrText>
      </w:r>
      <w:r w:rsidR="00523E1E">
        <w:fldChar w:fldCharType="end"/>
      </w:r>
      <w:r>
        <w:t xml:space="preserve"> is a simple weighted average of the two treatment effects </w:t>
      </w:r>
      <w:r w:rsidRPr="008A0275">
        <w:rPr>
          <w:position w:val="-6"/>
          <w:sz w:val="20"/>
        </w:rPr>
        <w:object w:dxaOrig="200" w:dyaOrig="320">
          <v:shape id="_x0000_i1086" type="#_x0000_t75" style="width:9.75pt;height:15.75pt" o:ole="" fillcolor="window">
            <v:imagedata r:id="rId35" o:title=""/>
          </v:shape>
          <o:OLEObject Type="Embed" ProgID="Equation.DSMT4" ShapeID="_x0000_i1086" DrawAspect="Content" ObjectID="_1478976203" r:id="rId87"/>
        </w:object>
      </w:r>
      <w:r w:rsidR="00523E1E">
        <w:fldChar w:fldCharType="begin"/>
      </w:r>
      <w:r>
        <w:instrText>EQ \O()</w:instrText>
      </w:r>
      <w:r w:rsidR="00523E1E">
        <w:fldChar w:fldCharType="end"/>
      </w:r>
      <w:r w:rsidRPr="00CC2489">
        <w:rPr>
          <w:i/>
          <w:vertAlign w:val="superscript"/>
        </w:rPr>
        <w:t>t</w:t>
      </w:r>
      <w:r>
        <w:t xml:space="preserve"> and </w:t>
      </w:r>
      <w:r w:rsidRPr="008A0275">
        <w:rPr>
          <w:position w:val="-6"/>
          <w:sz w:val="20"/>
        </w:rPr>
        <w:object w:dxaOrig="200" w:dyaOrig="320">
          <v:shape id="_x0000_i1087" type="#_x0000_t75" style="width:9.75pt;height:15.75pt" o:ole="" fillcolor="window">
            <v:imagedata r:id="rId35" o:title=""/>
          </v:shape>
          <o:OLEObject Type="Embed" ProgID="Equation.DSMT4" ShapeID="_x0000_i1087" DrawAspect="Content" ObjectID="_1478976204" r:id="rId88"/>
        </w:object>
      </w:r>
      <w:r w:rsidR="00523E1E">
        <w:fldChar w:fldCharType="begin"/>
      </w:r>
      <w:r>
        <w:instrText>EQ \O()</w:instrText>
      </w:r>
      <w:r w:rsidR="00523E1E">
        <w:fldChar w:fldCharType="end"/>
      </w:r>
      <w:r w:rsidRPr="00CC2489">
        <w:rPr>
          <w:i/>
          <w:vertAlign w:val="superscript"/>
        </w:rPr>
        <w:t>c</w:t>
      </w:r>
      <w:r>
        <w:t xml:space="preserve">. </w:t>
      </w:r>
      <w:r w:rsidR="00E43545">
        <w:t xml:space="preserve"> Taking expectations of (A1</w:t>
      </w:r>
      <w:r w:rsidR="00AF78EA">
        <w:t>) yields:</w:t>
      </w:r>
    </w:p>
    <w:p w:rsidR="00AF78EA" w:rsidRPr="003351A1" w:rsidRDefault="00AF78EA" w:rsidP="00AF78EA">
      <w:pPr>
        <w:spacing w:line="480" w:lineRule="auto"/>
        <w:ind w:firstLine="720"/>
      </w:pPr>
      <w:proofErr w:type="gramStart"/>
      <w:r w:rsidRPr="003351A1">
        <w:t>E[</w:t>
      </w:r>
      <w:proofErr w:type="gramEnd"/>
      <w:r w:rsidR="00523E1E" w:rsidRPr="003351A1">
        <w:fldChar w:fldCharType="begin"/>
      </w:r>
      <w:r w:rsidRPr="003351A1">
        <w:instrText>EQ \O()</w:instrText>
      </w:r>
      <w:r w:rsidR="00523E1E" w:rsidRPr="003351A1">
        <w:fldChar w:fldCharType="end"/>
      </w:r>
      <w:r w:rsidRPr="008A0275">
        <w:rPr>
          <w:position w:val="-6"/>
          <w:sz w:val="20"/>
          <w:lang w:val="de-DE"/>
        </w:rPr>
        <w:object w:dxaOrig="240" w:dyaOrig="320">
          <v:shape id="_x0000_i1088" type="#_x0000_t75" style="width:12pt;height:15.75pt" o:ole="" fillcolor="window">
            <v:imagedata r:id="rId89" o:title=""/>
          </v:shape>
          <o:OLEObject Type="Embed" ProgID="Equation.DSMT4" ShapeID="_x0000_i1088" DrawAspect="Content" ObjectID="_1478976205" r:id="rId90"/>
        </w:object>
      </w:r>
      <w:r w:rsidRPr="003351A1">
        <w:t>]=E[</w:t>
      </w:r>
      <w:r>
        <w:t>π</w:t>
      </w:r>
      <w:r w:rsidRPr="00DB48A2">
        <w:rPr>
          <w:position w:val="-4"/>
          <w:lang w:val="de-DE"/>
        </w:rPr>
        <w:object w:dxaOrig="120" w:dyaOrig="300">
          <v:shape id="_x0000_i1089" type="#_x0000_t75" style="width:6pt;height:15pt" o:ole="">
            <v:imagedata r:id="rId37" o:title=""/>
          </v:shape>
          <o:OLEObject Type="Embed" ProgID="Equation.DSMT4" ShapeID="_x0000_i1089" DrawAspect="Content" ObjectID="_1478976206" r:id="rId91"/>
        </w:object>
      </w:r>
      <w:r w:rsidRPr="008A0275">
        <w:rPr>
          <w:position w:val="-6"/>
          <w:sz w:val="20"/>
          <w:lang w:val="de-DE"/>
        </w:rPr>
        <w:object w:dxaOrig="240" w:dyaOrig="320">
          <v:shape id="_x0000_i1090" type="#_x0000_t75" style="width:12pt;height:15.75pt" o:ole="" fillcolor="window">
            <v:imagedata r:id="rId89" o:title=""/>
          </v:shape>
          <o:OLEObject Type="Embed" ProgID="Equation.DSMT4" ShapeID="_x0000_i1090" DrawAspect="Content" ObjectID="_1478976207" r:id="rId92"/>
        </w:object>
      </w:r>
      <w:r w:rsidRPr="003351A1">
        <w:t xml:space="preserve"> </w:t>
      </w:r>
      <w:r w:rsidR="00523E1E" w:rsidRPr="003351A1">
        <w:fldChar w:fldCharType="begin"/>
      </w:r>
      <w:r w:rsidRPr="003351A1">
        <w:instrText>EQ \O()</w:instrText>
      </w:r>
      <w:r w:rsidR="00523E1E" w:rsidRPr="003351A1">
        <w:fldChar w:fldCharType="end"/>
      </w:r>
      <w:r w:rsidR="00CC2489" w:rsidRPr="00CC2489">
        <w:rPr>
          <w:i/>
          <w:vertAlign w:val="superscript"/>
        </w:rPr>
        <w:t>t</w:t>
      </w:r>
      <w:r w:rsidRPr="003351A1">
        <w:t xml:space="preserve"> +(1</w:t>
      </w:r>
      <w:r w:rsidR="00601417">
        <w:t>−</w:t>
      </w:r>
      <w:r>
        <w:t>π</w:t>
      </w:r>
      <w:r w:rsidRPr="00DB48A2">
        <w:rPr>
          <w:position w:val="-4"/>
          <w:lang w:val="de-DE"/>
        </w:rPr>
        <w:object w:dxaOrig="120" w:dyaOrig="300">
          <v:shape id="_x0000_i1091" type="#_x0000_t75" style="width:6pt;height:15pt" o:ole="">
            <v:imagedata r:id="rId37" o:title=""/>
          </v:shape>
          <o:OLEObject Type="Embed" ProgID="Equation.DSMT4" ShapeID="_x0000_i1091" DrawAspect="Content" ObjectID="_1478976208" r:id="rId93"/>
        </w:object>
      </w:r>
      <w:r w:rsidRPr="003351A1">
        <w:t>)</w:t>
      </w:r>
      <w:r w:rsidRPr="008A0275">
        <w:rPr>
          <w:position w:val="-6"/>
          <w:sz w:val="20"/>
          <w:lang w:val="de-DE"/>
        </w:rPr>
        <w:object w:dxaOrig="240" w:dyaOrig="320">
          <v:shape id="_x0000_i1092" type="#_x0000_t75" style="width:12pt;height:15.75pt" o:ole="" fillcolor="window">
            <v:imagedata r:id="rId89" o:title=""/>
          </v:shape>
          <o:OLEObject Type="Embed" ProgID="Equation.DSMT4" ShapeID="_x0000_i1092" DrawAspect="Content" ObjectID="_1478976209" r:id="rId94"/>
        </w:object>
      </w:r>
      <w:r w:rsidRPr="003351A1">
        <w:t xml:space="preserve"> </w:t>
      </w:r>
      <w:r w:rsidR="00523E1E" w:rsidRPr="003351A1">
        <w:fldChar w:fldCharType="begin"/>
      </w:r>
      <w:r w:rsidRPr="003351A1">
        <w:instrText>EQ \O()</w:instrText>
      </w:r>
      <w:r w:rsidR="00523E1E" w:rsidRPr="003351A1">
        <w:fldChar w:fldCharType="end"/>
      </w:r>
      <w:r w:rsidR="00CC2489" w:rsidRPr="00CC2489">
        <w:rPr>
          <w:i/>
          <w:vertAlign w:val="superscript"/>
        </w:rPr>
        <w:t>c</w:t>
      </w:r>
      <w:r w:rsidRPr="003351A1">
        <w:t xml:space="preserve">]= </w:t>
      </w:r>
    </w:p>
    <w:p w:rsidR="00AF78EA" w:rsidRPr="008607D1" w:rsidRDefault="00AF78EA" w:rsidP="00AF78EA">
      <w:pPr>
        <w:spacing w:line="480" w:lineRule="auto"/>
        <w:ind w:firstLine="720"/>
      </w:pPr>
      <w:r>
        <w:t>π</w:t>
      </w:r>
      <w:r w:rsidRPr="00DB48A2">
        <w:rPr>
          <w:position w:val="-4"/>
          <w:lang w:val="de-DE"/>
        </w:rPr>
        <w:object w:dxaOrig="120" w:dyaOrig="300">
          <v:shape id="_x0000_i1093" type="#_x0000_t75" style="width:6pt;height:15pt" o:ole="">
            <v:imagedata r:id="rId37" o:title=""/>
          </v:shape>
          <o:OLEObject Type="Embed" ProgID="Equation.DSMT4" ShapeID="_x0000_i1093" DrawAspect="Content" ObjectID="_1478976210" r:id="rId95"/>
        </w:object>
      </w:r>
      <w:r w:rsidRPr="002022B6">
        <w:rPr>
          <w:lang w:val="de-DE"/>
        </w:rPr>
        <w:t xml:space="preserve"> (E[Y</w:t>
      </w:r>
      <w:r w:rsidR="00CC2489" w:rsidRPr="00CC2489">
        <w:rPr>
          <w:i/>
          <w:vertAlign w:val="superscript"/>
          <w:lang w:val="de-DE"/>
        </w:rPr>
        <w:t>t</w:t>
      </w:r>
      <w:r w:rsidRPr="002022B6">
        <w:rPr>
          <w:lang w:val="de-DE"/>
        </w:rPr>
        <w:t>|X</w:t>
      </w:r>
      <w:r w:rsidR="00CC2489" w:rsidRPr="00CC2489">
        <w:rPr>
          <w:i/>
          <w:lang w:val="de-DE"/>
        </w:rPr>
        <w:t>=t</w:t>
      </w:r>
      <w:r w:rsidRPr="002022B6">
        <w:rPr>
          <w:lang w:val="de-DE"/>
        </w:rPr>
        <w:t>]</w:t>
      </w:r>
      <w:r w:rsidR="00601417">
        <w:rPr>
          <w:lang w:val="de-DE"/>
        </w:rPr>
        <w:t>−</w:t>
      </w:r>
      <w:r w:rsidRPr="002022B6">
        <w:rPr>
          <w:lang w:val="de-DE"/>
        </w:rPr>
        <w:t>E[Y</w:t>
      </w:r>
      <w:r w:rsidR="00CC2489" w:rsidRPr="00CC2489">
        <w:rPr>
          <w:i/>
          <w:vertAlign w:val="superscript"/>
          <w:lang w:val="de-DE"/>
        </w:rPr>
        <w:t>c</w:t>
      </w:r>
      <w:r w:rsidRPr="002022B6">
        <w:rPr>
          <w:lang w:val="de-DE"/>
        </w:rPr>
        <w:t>|X</w:t>
      </w:r>
      <w:r w:rsidR="00CC2489" w:rsidRPr="00CC2489">
        <w:rPr>
          <w:i/>
          <w:lang w:val="de-DE"/>
        </w:rPr>
        <w:t>=t</w:t>
      </w:r>
      <w:r w:rsidRPr="002022B6">
        <w:rPr>
          <w:lang w:val="de-DE"/>
        </w:rPr>
        <w:t>])+(1</w:t>
      </w:r>
      <w:r w:rsidR="00601417">
        <w:rPr>
          <w:lang w:val="de-DE"/>
        </w:rPr>
        <w:t>−</w:t>
      </w:r>
      <w:r w:rsidRPr="002427E4">
        <w:rPr>
          <w:lang w:val="de-DE"/>
        </w:rPr>
        <w:t xml:space="preserve"> </w:t>
      </w:r>
      <w:r>
        <w:t>π</w:t>
      </w:r>
      <w:r w:rsidRPr="00DB48A2">
        <w:rPr>
          <w:position w:val="-4"/>
          <w:lang w:val="de-DE"/>
        </w:rPr>
        <w:object w:dxaOrig="120" w:dyaOrig="300">
          <v:shape id="_x0000_i1094" type="#_x0000_t75" style="width:6pt;height:15pt" o:ole="">
            <v:imagedata r:id="rId37" o:title=""/>
          </v:shape>
          <o:OLEObject Type="Embed" ProgID="Equation.DSMT4" ShapeID="_x0000_i1094" DrawAspect="Content" ObjectID="_1478976211" r:id="rId96"/>
        </w:object>
      </w:r>
      <w:r w:rsidRPr="002022B6">
        <w:rPr>
          <w:lang w:val="de-DE"/>
        </w:rPr>
        <w:t>)(E[Y</w:t>
      </w:r>
      <w:r w:rsidR="00CC2489" w:rsidRPr="00CC2489">
        <w:rPr>
          <w:i/>
          <w:vertAlign w:val="superscript"/>
          <w:lang w:val="de-DE"/>
        </w:rPr>
        <w:t>t</w:t>
      </w:r>
      <w:r w:rsidRPr="002022B6">
        <w:rPr>
          <w:lang w:val="de-DE"/>
        </w:rPr>
        <w:t>|X</w:t>
      </w:r>
      <w:r w:rsidR="00CC2489" w:rsidRPr="00CC2489">
        <w:rPr>
          <w:i/>
          <w:lang w:val="de-DE"/>
        </w:rPr>
        <w:t>=c</w:t>
      </w:r>
      <w:r w:rsidRPr="002022B6">
        <w:rPr>
          <w:lang w:val="de-DE"/>
        </w:rPr>
        <w:t>]</w:t>
      </w:r>
      <w:r w:rsidR="00601417">
        <w:rPr>
          <w:lang w:val="de-DE"/>
        </w:rPr>
        <w:t>−</w:t>
      </w:r>
      <w:r w:rsidRPr="002022B6">
        <w:rPr>
          <w:lang w:val="de-DE"/>
        </w:rPr>
        <w:t>E[Y</w:t>
      </w:r>
      <w:r w:rsidR="00CC2489" w:rsidRPr="00CC2489">
        <w:rPr>
          <w:i/>
          <w:vertAlign w:val="superscript"/>
          <w:lang w:val="de-DE"/>
        </w:rPr>
        <w:t>c</w:t>
      </w:r>
      <w:r w:rsidRPr="002022B6">
        <w:rPr>
          <w:lang w:val="de-DE"/>
        </w:rPr>
        <w:t>|X</w:t>
      </w:r>
      <w:r w:rsidR="00CC2489" w:rsidRPr="00CC2489">
        <w:rPr>
          <w:i/>
          <w:lang w:val="de-DE"/>
        </w:rPr>
        <w:t>=c</w:t>
      </w:r>
      <w:r w:rsidR="00E43545">
        <w:rPr>
          <w:lang w:val="de-DE"/>
        </w:rPr>
        <w:t>]),</w:t>
      </w:r>
      <w:r>
        <w:rPr>
          <w:lang w:val="de-DE"/>
        </w:rPr>
        <w:t xml:space="preserve">   </w:t>
      </w:r>
      <w:r w:rsidR="00E43545">
        <w:t>(A2</w:t>
      </w:r>
      <w:r w:rsidRPr="008607D1">
        <w:t>)</w:t>
      </w:r>
    </w:p>
    <w:p w:rsidR="00E43545" w:rsidRDefault="00E43545" w:rsidP="00AF78EA">
      <w:pPr>
        <w:spacing w:line="480" w:lineRule="auto"/>
      </w:pPr>
      <w:proofErr w:type="gramStart"/>
      <w:r>
        <w:t>where</w:t>
      </w:r>
      <w:proofErr w:type="gramEnd"/>
      <w:r>
        <w:t xml:space="preserve"> the notation is as in the main text: X</w:t>
      </w:r>
      <w:r w:rsidRPr="00CC2489">
        <w:rPr>
          <w:i/>
        </w:rPr>
        <w:t>=t</w:t>
      </w:r>
      <w:r>
        <w:t xml:space="preserve"> if a unit received the treatment and X</w:t>
      </w:r>
      <w:r w:rsidRPr="00CC2489">
        <w:rPr>
          <w:i/>
        </w:rPr>
        <w:t>=c</w:t>
      </w:r>
      <w:r>
        <w:t xml:space="preserve"> if a unit received the control. </w:t>
      </w:r>
      <w:proofErr w:type="spellStart"/>
      <w:proofErr w:type="gramStart"/>
      <w:r>
        <w:t>Y</w:t>
      </w:r>
      <w:r w:rsidRPr="00CC2489">
        <w:rPr>
          <w:i/>
          <w:vertAlign w:val="superscript"/>
        </w:rPr>
        <w:t>t</w:t>
      </w:r>
      <w:proofErr w:type="spellEnd"/>
      <w:proofErr w:type="gramEnd"/>
      <w:r>
        <w:rPr>
          <w:vertAlign w:val="subscript"/>
        </w:rPr>
        <w:t xml:space="preserve"> </w:t>
      </w:r>
      <w:r>
        <w:t>| X</w:t>
      </w:r>
      <w:r w:rsidRPr="00CC2489">
        <w:rPr>
          <w:i/>
        </w:rPr>
        <w:t>=t</w:t>
      </w:r>
      <w:r>
        <w:t xml:space="preserve"> is then the value of the outcome Y for a unit exposed to the treatment, and </w:t>
      </w:r>
      <w:proofErr w:type="spellStart"/>
      <w:r>
        <w:t>Y</w:t>
      </w:r>
      <w:r w:rsidRPr="00CC2489">
        <w:rPr>
          <w:i/>
          <w:vertAlign w:val="superscript"/>
        </w:rPr>
        <w:t>c</w:t>
      </w:r>
      <w:proofErr w:type="spellEnd"/>
      <w:r>
        <w:rPr>
          <w:vertAlign w:val="subscript"/>
        </w:rPr>
        <w:t xml:space="preserve"> </w:t>
      </w:r>
      <w:r>
        <w:t>| X</w:t>
      </w:r>
      <w:r w:rsidRPr="00CC2489">
        <w:rPr>
          <w:i/>
        </w:rPr>
        <w:t>=t</w:t>
      </w:r>
      <w:r>
        <w:t xml:space="preserve"> is the counterfactual value of Y under the control condition for a unit receiving the treatment.  </w:t>
      </w:r>
    </w:p>
    <w:p w:rsidR="00AF78EA" w:rsidRDefault="00AF78EA" w:rsidP="00E43545">
      <w:pPr>
        <w:spacing w:line="480" w:lineRule="auto"/>
        <w:ind w:firstLine="720"/>
      </w:pPr>
      <w:r>
        <w:t xml:space="preserve">Using the same notation, the expectation of the standard estimator, </w:t>
      </w:r>
      <w:r w:rsidRPr="008A0275">
        <w:rPr>
          <w:position w:val="-6"/>
          <w:sz w:val="20"/>
        </w:rPr>
        <w:object w:dxaOrig="220" w:dyaOrig="340">
          <v:shape id="_x0000_i1095" type="#_x0000_t75" style="width:11.25pt;height:17.25pt" o:ole="" fillcolor="window">
            <v:imagedata r:id="rId97" o:title=""/>
          </v:shape>
          <o:OLEObject Type="Embed" ProgID="Equation.DSMT4" ShapeID="_x0000_i1095" DrawAspect="Content" ObjectID="_1478976212" r:id="rId98"/>
        </w:object>
      </w:r>
      <w:r>
        <w:t xml:space="preserve"> (e.g., the difference in observed means between the treatment and control group) is </w:t>
      </w:r>
    </w:p>
    <w:p w:rsidR="00AF78EA" w:rsidRDefault="00AF78EA" w:rsidP="00AF78EA">
      <w:pPr>
        <w:spacing w:line="480" w:lineRule="auto"/>
        <w:ind w:firstLine="720"/>
      </w:pPr>
      <w:r w:rsidRPr="002022B6">
        <w:rPr>
          <w:lang w:val="de-DE"/>
        </w:rPr>
        <w:t>E[</w:t>
      </w:r>
      <w:r w:rsidRPr="008A0275">
        <w:rPr>
          <w:position w:val="-6"/>
          <w:sz w:val="20"/>
          <w:lang w:val="de-DE"/>
        </w:rPr>
        <w:object w:dxaOrig="220" w:dyaOrig="340">
          <v:shape id="_x0000_i1096" type="#_x0000_t75" style="width:11.25pt;height:17.25pt" o:ole="" fillcolor="window">
            <v:imagedata r:id="rId97" o:title=""/>
          </v:shape>
          <o:OLEObject Type="Embed" ProgID="Equation.DSMT4" ShapeID="_x0000_i1096" DrawAspect="Content" ObjectID="_1478976213" r:id="rId99"/>
        </w:object>
      </w:r>
      <w:r w:rsidRPr="002022B6">
        <w:rPr>
          <w:lang w:val="de-DE"/>
        </w:rPr>
        <w:t>]=E[Y</w:t>
      </w:r>
      <w:r w:rsidR="00CC2489" w:rsidRPr="00CC2489">
        <w:rPr>
          <w:i/>
          <w:vertAlign w:val="superscript"/>
          <w:lang w:val="de-DE"/>
        </w:rPr>
        <w:t>t</w:t>
      </w:r>
      <w:r w:rsidRPr="002022B6">
        <w:rPr>
          <w:lang w:val="de-DE"/>
        </w:rPr>
        <w:t>|X</w:t>
      </w:r>
      <w:r w:rsidR="00CC2489" w:rsidRPr="00CC2489">
        <w:rPr>
          <w:i/>
          <w:lang w:val="de-DE"/>
        </w:rPr>
        <w:t>=t</w:t>
      </w:r>
      <w:r w:rsidRPr="002022B6">
        <w:rPr>
          <w:lang w:val="de-DE"/>
        </w:rPr>
        <w:t>]</w:t>
      </w:r>
      <w:r w:rsidR="00601417">
        <w:rPr>
          <w:lang w:val="de-DE"/>
        </w:rPr>
        <w:t>−</w:t>
      </w:r>
      <w:r w:rsidRPr="002022B6">
        <w:rPr>
          <w:lang w:val="de-DE"/>
        </w:rPr>
        <w:t>E[Y</w:t>
      </w:r>
      <w:r w:rsidR="00CC2489" w:rsidRPr="00CC2489">
        <w:rPr>
          <w:i/>
          <w:vertAlign w:val="superscript"/>
          <w:lang w:val="de-DE"/>
        </w:rPr>
        <w:t>c</w:t>
      </w:r>
      <w:r w:rsidRPr="002022B6">
        <w:rPr>
          <w:lang w:val="de-DE"/>
        </w:rPr>
        <w:t>|X</w:t>
      </w:r>
      <w:r w:rsidR="00CC2489" w:rsidRPr="00CC2489">
        <w:rPr>
          <w:i/>
          <w:lang w:val="de-DE"/>
        </w:rPr>
        <w:t>=c</w:t>
      </w:r>
      <w:r w:rsidRPr="002022B6">
        <w:rPr>
          <w:lang w:val="de-DE"/>
        </w:rPr>
        <w:t xml:space="preserve">] .  </w:t>
      </w:r>
      <w:r w:rsidR="00E43545">
        <w:t>(A3</w:t>
      </w:r>
      <w:r>
        <w:t>)</w:t>
      </w:r>
    </w:p>
    <w:p w:rsidR="00AF78EA" w:rsidRDefault="00AF78EA" w:rsidP="00AF78EA">
      <w:pPr>
        <w:spacing w:line="480" w:lineRule="auto"/>
      </w:pPr>
      <w:proofErr w:type="gramStart"/>
      <w:r>
        <w:t>and</w:t>
      </w:r>
      <w:proofErr w:type="gramEnd"/>
      <w:r>
        <w:t xml:space="preserve"> then </w:t>
      </w:r>
      <w:r w:rsidR="00FE1BFD">
        <w:t xml:space="preserve">defining bias, β </w:t>
      </w:r>
      <w:r w:rsidR="00FE1BFD" w:rsidRPr="002022B6">
        <w:rPr>
          <w:lang w:val="de-DE"/>
        </w:rPr>
        <w:t>=E[</w:t>
      </w:r>
      <w:r w:rsidR="00FE1BFD" w:rsidRPr="008A0275">
        <w:rPr>
          <w:position w:val="-6"/>
          <w:sz w:val="20"/>
          <w:lang w:val="de-DE"/>
        </w:rPr>
        <w:object w:dxaOrig="220" w:dyaOrig="340">
          <v:shape id="_x0000_i1097" type="#_x0000_t75" style="width:11.25pt;height:17.25pt" o:ole="" fillcolor="window">
            <v:imagedata r:id="rId97" o:title=""/>
          </v:shape>
          <o:OLEObject Type="Embed" ProgID="Equation.DSMT4" ShapeID="_x0000_i1097" DrawAspect="Content" ObjectID="_1478976214" r:id="rId100"/>
        </w:object>
      </w:r>
      <w:r w:rsidR="00FE1BFD" w:rsidRPr="002022B6">
        <w:rPr>
          <w:lang w:val="de-DE"/>
        </w:rPr>
        <w:t>]</w:t>
      </w:r>
      <w:r w:rsidR="00FE1BFD">
        <w:rPr>
          <w:lang w:val="de-DE"/>
        </w:rPr>
        <w:t>−</w:t>
      </w:r>
      <w:r w:rsidR="00FE1BFD" w:rsidRPr="002022B6">
        <w:rPr>
          <w:lang w:val="de-DE"/>
        </w:rPr>
        <w:t>E[</w:t>
      </w:r>
      <w:r w:rsidR="00523E1E" w:rsidRPr="002022B6">
        <w:rPr>
          <w:lang w:val="de-DE"/>
        </w:rPr>
        <w:fldChar w:fldCharType="begin"/>
      </w:r>
      <w:r w:rsidR="00FE1BFD" w:rsidRPr="002022B6">
        <w:rPr>
          <w:lang w:val="de-DE"/>
        </w:rPr>
        <w:instrText>EQ \O()</w:instrText>
      </w:r>
      <w:r w:rsidR="00523E1E" w:rsidRPr="002022B6">
        <w:rPr>
          <w:lang w:val="de-DE"/>
        </w:rPr>
        <w:fldChar w:fldCharType="end"/>
      </w:r>
      <w:r w:rsidR="00FE1BFD" w:rsidRPr="008A0275">
        <w:rPr>
          <w:position w:val="-6"/>
          <w:sz w:val="20"/>
          <w:lang w:val="de-DE"/>
        </w:rPr>
        <w:object w:dxaOrig="240" w:dyaOrig="320">
          <v:shape id="_x0000_i1098" type="#_x0000_t75" style="width:12pt;height:15.75pt" o:ole="" fillcolor="window">
            <v:imagedata r:id="rId89" o:title=""/>
          </v:shape>
          <o:OLEObject Type="Embed" ProgID="Equation.DSMT4" ShapeID="_x0000_i1098" DrawAspect="Content" ObjectID="_1478976215" r:id="rId101"/>
        </w:object>
      </w:r>
      <w:r w:rsidR="00FE1BFD">
        <w:rPr>
          <w:lang w:val="de-DE"/>
        </w:rPr>
        <w:t xml:space="preserve">], the bias due to non-random assignment of </w:t>
      </w:r>
      <w:r w:rsidR="00AC21C9">
        <w:rPr>
          <w:lang w:val="de-DE"/>
        </w:rPr>
        <w:t>unit</w:t>
      </w:r>
      <w:r w:rsidR="00FE1BFD">
        <w:rPr>
          <w:lang w:val="de-DE"/>
        </w:rPr>
        <w:t xml:space="preserve">s to treatments, </w:t>
      </w:r>
      <w:r w:rsidR="00FE1BFD" w:rsidRPr="002022B6">
        <w:rPr>
          <w:lang w:val="de-DE"/>
        </w:rPr>
        <w:t xml:space="preserve"> </w:t>
      </w:r>
      <w:r w:rsidR="00FE1BFD">
        <w:t>β</w:t>
      </w:r>
      <w:r w:rsidR="00FE1BFD" w:rsidRPr="002022B6">
        <w:rPr>
          <w:vertAlign w:val="superscript"/>
          <w:lang w:val="de-DE"/>
        </w:rPr>
        <w:t>a</w:t>
      </w:r>
      <w:r w:rsidR="00FE1BFD">
        <w:t xml:space="preserve">, can be </w:t>
      </w:r>
      <w:r w:rsidR="00A83094">
        <w:t xml:space="preserve">defined </w:t>
      </w:r>
      <w:r w:rsidR="00E43545">
        <w:t>using the expectations in (A2) and (A3</w:t>
      </w:r>
      <w:r>
        <w:t xml:space="preserve">): </w:t>
      </w:r>
    </w:p>
    <w:p w:rsidR="00AF78EA" w:rsidRPr="002022B6" w:rsidRDefault="00AF78EA" w:rsidP="00FE1BFD">
      <w:pPr>
        <w:spacing w:line="480" w:lineRule="auto"/>
        <w:ind w:firstLine="720"/>
        <w:rPr>
          <w:lang w:val="de-DE"/>
        </w:rPr>
      </w:pPr>
      <w:proofErr w:type="gramStart"/>
      <w:r>
        <w:lastRenderedPageBreak/>
        <w:t>β</w:t>
      </w:r>
      <w:r w:rsidRPr="002022B6">
        <w:rPr>
          <w:vertAlign w:val="superscript"/>
          <w:lang w:val="de-DE"/>
        </w:rPr>
        <w:t>a</w:t>
      </w:r>
      <w:r w:rsidRPr="002022B6">
        <w:rPr>
          <w:lang w:val="de-DE"/>
        </w:rPr>
        <w:t>=</w:t>
      </w:r>
      <w:proofErr w:type="gramEnd"/>
      <w:r w:rsidRPr="002022B6">
        <w:rPr>
          <w:lang w:val="de-DE"/>
        </w:rPr>
        <w:t>E[</w:t>
      </w:r>
      <w:r w:rsidRPr="008A0275">
        <w:rPr>
          <w:position w:val="-6"/>
          <w:sz w:val="20"/>
          <w:lang w:val="de-DE"/>
        </w:rPr>
        <w:object w:dxaOrig="220" w:dyaOrig="340">
          <v:shape id="_x0000_i1099" type="#_x0000_t75" style="width:11.25pt;height:17.25pt" o:ole="" fillcolor="window">
            <v:imagedata r:id="rId97" o:title=""/>
          </v:shape>
          <o:OLEObject Type="Embed" ProgID="Equation.DSMT4" ShapeID="_x0000_i1099" DrawAspect="Content" ObjectID="_1478976216" r:id="rId102"/>
        </w:object>
      </w:r>
      <w:r w:rsidRPr="002022B6">
        <w:rPr>
          <w:lang w:val="de-DE"/>
        </w:rPr>
        <w:t>]</w:t>
      </w:r>
      <w:r w:rsidR="00601417">
        <w:rPr>
          <w:lang w:val="de-DE"/>
        </w:rPr>
        <w:t>−</w:t>
      </w:r>
      <w:r w:rsidRPr="002022B6">
        <w:rPr>
          <w:lang w:val="de-DE"/>
        </w:rPr>
        <w:t>E[</w:t>
      </w:r>
      <w:r w:rsidR="00523E1E" w:rsidRPr="002022B6">
        <w:rPr>
          <w:lang w:val="de-DE"/>
        </w:rPr>
        <w:fldChar w:fldCharType="begin"/>
      </w:r>
      <w:r w:rsidRPr="002022B6">
        <w:rPr>
          <w:lang w:val="de-DE"/>
        </w:rPr>
        <w:instrText>EQ \O()</w:instrText>
      </w:r>
      <w:r w:rsidR="00523E1E" w:rsidRPr="002022B6">
        <w:rPr>
          <w:lang w:val="de-DE"/>
        </w:rPr>
        <w:fldChar w:fldCharType="end"/>
      </w:r>
      <w:r w:rsidRPr="008A0275">
        <w:rPr>
          <w:position w:val="-6"/>
          <w:sz w:val="20"/>
          <w:lang w:val="de-DE"/>
        </w:rPr>
        <w:object w:dxaOrig="240" w:dyaOrig="320">
          <v:shape id="_x0000_i1100" type="#_x0000_t75" style="width:12pt;height:15.75pt" o:ole="" fillcolor="window">
            <v:imagedata r:id="rId89" o:title=""/>
          </v:shape>
          <o:OLEObject Type="Embed" ProgID="Equation.DSMT4" ShapeID="_x0000_i1100" DrawAspect="Content" ObjectID="_1478976217" r:id="rId103"/>
        </w:object>
      </w:r>
      <w:r w:rsidRPr="002022B6">
        <w:rPr>
          <w:lang w:val="de-DE"/>
        </w:rPr>
        <w:t xml:space="preserve">]= </w:t>
      </w:r>
    </w:p>
    <w:p w:rsidR="00AF78EA" w:rsidRPr="002022B6" w:rsidRDefault="00AF78EA" w:rsidP="00AF78EA">
      <w:pPr>
        <w:spacing w:line="480" w:lineRule="auto"/>
        <w:rPr>
          <w:lang w:val="de-DE"/>
        </w:rPr>
      </w:pPr>
      <w:r>
        <w:rPr>
          <w:lang w:val="de-DE"/>
        </w:rPr>
        <w:t xml:space="preserve">       </w:t>
      </w:r>
      <w:r w:rsidRPr="002022B6">
        <w:rPr>
          <w:lang w:val="de-DE"/>
        </w:rPr>
        <w:t>E[Y</w:t>
      </w:r>
      <w:r w:rsidR="00CC2489" w:rsidRPr="00CC2489">
        <w:rPr>
          <w:i/>
          <w:vertAlign w:val="superscript"/>
          <w:lang w:val="de-DE"/>
        </w:rPr>
        <w:t>t</w:t>
      </w:r>
      <w:r w:rsidRPr="002022B6">
        <w:rPr>
          <w:lang w:val="de-DE"/>
        </w:rPr>
        <w:t>|X</w:t>
      </w:r>
      <w:r w:rsidR="00CC2489" w:rsidRPr="00CC2489">
        <w:rPr>
          <w:i/>
          <w:lang w:val="de-DE"/>
        </w:rPr>
        <w:t>=t</w:t>
      </w:r>
      <w:r w:rsidRPr="002022B6">
        <w:rPr>
          <w:lang w:val="de-DE"/>
        </w:rPr>
        <w:t>]</w:t>
      </w:r>
      <w:r w:rsidR="00601417">
        <w:rPr>
          <w:lang w:val="de-DE"/>
        </w:rPr>
        <w:t>−</w:t>
      </w:r>
      <w:r w:rsidRPr="002022B6">
        <w:rPr>
          <w:lang w:val="de-DE"/>
        </w:rPr>
        <w:t>E[Y</w:t>
      </w:r>
      <w:r w:rsidR="00CC2489" w:rsidRPr="00CC2489">
        <w:rPr>
          <w:i/>
          <w:vertAlign w:val="superscript"/>
          <w:lang w:val="de-DE"/>
        </w:rPr>
        <w:t>c</w:t>
      </w:r>
      <w:r>
        <w:rPr>
          <w:lang w:val="de-DE"/>
        </w:rPr>
        <w:t>|X</w:t>
      </w:r>
      <w:r w:rsidR="00CC2489" w:rsidRPr="00CC2489">
        <w:rPr>
          <w:i/>
          <w:lang w:val="de-DE"/>
        </w:rPr>
        <w:t>=c</w:t>
      </w:r>
      <w:r>
        <w:rPr>
          <w:lang w:val="de-DE"/>
        </w:rPr>
        <w:t>]</w:t>
      </w:r>
      <w:r w:rsidR="00601417">
        <w:rPr>
          <w:lang w:val="de-DE"/>
        </w:rPr>
        <w:t>−</w:t>
      </w:r>
      <w:r w:rsidRPr="002022B6">
        <w:rPr>
          <w:lang w:val="de-DE"/>
        </w:rPr>
        <w:t>{</w:t>
      </w:r>
      <w:r>
        <w:t>π</w:t>
      </w:r>
      <w:r w:rsidRPr="00DB48A2">
        <w:rPr>
          <w:position w:val="-4"/>
          <w:lang w:val="de-DE"/>
        </w:rPr>
        <w:object w:dxaOrig="120" w:dyaOrig="300">
          <v:shape id="_x0000_i1101" type="#_x0000_t75" style="width:6pt;height:15pt" o:ole="">
            <v:imagedata r:id="rId37" o:title=""/>
          </v:shape>
          <o:OLEObject Type="Embed" ProgID="Equation.DSMT4" ShapeID="_x0000_i1101" DrawAspect="Content" ObjectID="_1478976218" r:id="rId104"/>
        </w:object>
      </w:r>
      <w:r w:rsidRPr="002022B6">
        <w:rPr>
          <w:lang w:val="de-DE"/>
        </w:rPr>
        <w:t xml:space="preserve"> (E[Y</w:t>
      </w:r>
      <w:r w:rsidR="00CC2489" w:rsidRPr="00CC2489">
        <w:rPr>
          <w:i/>
          <w:vertAlign w:val="superscript"/>
          <w:lang w:val="de-DE"/>
        </w:rPr>
        <w:t>t</w:t>
      </w:r>
      <w:r w:rsidRPr="002022B6">
        <w:rPr>
          <w:lang w:val="de-DE"/>
        </w:rPr>
        <w:t>|X</w:t>
      </w:r>
      <w:r w:rsidR="00CC2489" w:rsidRPr="00CC2489">
        <w:rPr>
          <w:i/>
          <w:lang w:val="de-DE"/>
        </w:rPr>
        <w:t>=t</w:t>
      </w:r>
      <w:r w:rsidRPr="002022B6">
        <w:rPr>
          <w:lang w:val="de-DE"/>
        </w:rPr>
        <w:t>]</w:t>
      </w:r>
      <w:r w:rsidR="00601417">
        <w:rPr>
          <w:lang w:val="de-DE"/>
        </w:rPr>
        <w:t>−</w:t>
      </w:r>
      <w:r w:rsidRPr="002022B6">
        <w:rPr>
          <w:lang w:val="de-DE"/>
        </w:rPr>
        <w:t>E[Y</w:t>
      </w:r>
      <w:r w:rsidR="00CC2489" w:rsidRPr="00CC2489">
        <w:rPr>
          <w:i/>
          <w:vertAlign w:val="superscript"/>
          <w:lang w:val="de-DE"/>
        </w:rPr>
        <w:t>c</w:t>
      </w:r>
      <w:r w:rsidRPr="002022B6">
        <w:rPr>
          <w:lang w:val="de-DE"/>
        </w:rPr>
        <w:t>|X</w:t>
      </w:r>
      <w:r w:rsidR="00CC2489" w:rsidRPr="00CC2489">
        <w:rPr>
          <w:i/>
          <w:lang w:val="de-DE"/>
        </w:rPr>
        <w:t>=t</w:t>
      </w:r>
      <w:r w:rsidRPr="002022B6">
        <w:rPr>
          <w:lang w:val="de-DE"/>
        </w:rPr>
        <w:t>])+(1</w:t>
      </w:r>
      <w:r w:rsidR="00601417">
        <w:rPr>
          <w:lang w:val="de-DE"/>
        </w:rPr>
        <w:t>−</w:t>
      </w:r>
      <w:r>
        <w:t>π</w:t>
      </w:r>
      <w:r w:rsidRPr="00DB48A2">
        <w:rPr>
          <w:position w:val="-4"/>
          <w:lang w:val="de-DE"/>
        </w:rPr>
        <w:object w:dxaOrig="120" w:dyaOrig="300">
          <v:shape id="_x0000_i1102" type="#_x0000_t75" style="width:6pt;height:15pt" o:ole="">
            <v:imagedata r:id="rId37" o:title=""/>
          </v:shape>
          <o:OLEObject Type="Embed" ProgID="Equation.DSMT4" ShapeID="_x0000_i1102" DrawAspect="Content" ObjectID="_1478976219" r:id="rId105"/>
        </w:object>
      </w:r>
      <w:r w:rsidRPr="002022B6">
        <w:rPr>
          <w:lang w:val="de-DE"/>
        </w:rPr>
        <w:t>)(E[Y</w:t>
      </w:r>
      <w:r w:rsidR="00CC2489" w:rsidRPr="00CC2489">
        <w:rPr>
          <w:i/>
          <w:vertAlign w:val="superscript"/>
          <w:lang w:val="de-DE"/>
        </w:rPr>
        <w:t>t</w:t>
      </w:r>
      <w:r w:rsidRPr="002022B6">
        <w:rPr>
          <w:lang w:val="de-DE"/>
        </w:rPr>
        <w:t>|X</w:t>
      </w:r>
      <w:r w:rsidR="00CC2489" w:rsidRPr="00CC2489">
        <w:rPr>
          <w:i/>
          <w:lang w:val="de-DE"/>
        </w:rPr>
        <w:t>=c</w:t>
      </w:r>
      <w:r w:rsidRPr="002022B6">
        <w:rPr>
          <w:lang w:val="de-DE"/>
        </w:rPr>
        <w:t>]</w:t>
      </w:r>
      <w:r w:rsidR="00601417">
        <w:rPr>
          <w:lang w:val="de-DE"/>
        </w:rPr>
        <w:t>−</w:t>
      </w:r>
      <w:r w:rsidRPr="002022B6">
        <w:rPr>
          <w:lang w:val="de-DE"/>
        </w:rPr>
        <w:t>E[Y</w:t>
      </w:r>
      <w:r w:rsidR="00CC2489" w:rsidRPr="00CC2489">
        <w:rPr>
          <w:i/>
          <w:vertAlign w:val="superscript"/>
          <w:lang w:val="de-DE"/>
        </w:rPr>
        <w:t>c</w:t>
      </w:r>
      <w:r>
        <w:rPr>
          <w:lang w:val="de-DE"/>
        </w:rPr>
        <w:t>|X</w:t>
      </w:r>
      <w:r w:rsidR="00CC2489" w:rsidRPr="00CC2489">
        <w:rPr>
          <w:i/>
          <w:lang w:val="de-DE"/>
        </w:rPr>
        <w:t>=c</w:t>
      </w:r>
      <w:r w:rsidR="00E43545">
        <w:rPr>
          <w:lang w:val="de-DE"/>
        </w:rPr>
        <w:t>])}. (A4</w:t>
      </w:r>
      <w:r w:rsidRPr="002022B6">
        <w:rPr>
          <w:lang w:val="de-DE"/>
        </w:rPr>
        <w:t>)</w:t>
      </w:r>
    </w:p>
    <w:p w:rsidR="00AF78EA" w:rsidRPr="003351A1" w:rsidRDefault="00AF78EA" w:rsidP="00AF78EA">
      <w:pPr>
        <w:spacing w:line="480" w:lineRule="auto"/>
        <w:rPr>
          <w:lang w:val="de-DE"/>
        </w:rPr>
      </w:pPr>
      <w:r w:rsidRPr="002022B6">
        <w:rPr>
          <w:lang w:val="de-DE"/>
        </w:rPr>
        <w:tab/>
      </w:r>
      <w:r w:rsidRPr="003351A1">
        <w:rPr>
          <w:lang w:val="de-DE"/>
        </w:rPr>
        <w:t xml:space="preserve">Combining terms associated with </w:t>
      </w:r>
      <w:r>
        <w:t>π</w:t>
      </w:r>
      <w:r w:rsidRPr="00DB48A2">
        <w:rPr>
          <w:position w:val="-4"/>
          <w:lang w:val="de-DE"/>
        </w:rPr>
        <w:object w:dxaOrig="120" w:dyaOrig="300">
          <v:shape id="_x0000_i1103" type="#_x0000_t75" style="width:6pt;height:15pt" o:ole="">
            <v:imagedata r:id="rId37" o:title=""/>
          </v:shape>
          <o:OLEObject Type="Embed" ProgID="Equation.DSMT4" ShapeID="_x0000_i1103" DrawAspect="Content" ObjectID="_1478976220" r:id="rId106"/>
        </w:object>
      </w:r>
      <w:r w:rsidRPr="003351A1">
        <w:rPr>
          <w:lang w:val="de-DE"/>
        </w:rPr>
        <w:t xml:space="preserve"> and (1</w:t>
      </w:r>
      <w:r w:rsidR="00601417">
        <w:rPr>
          <w:lang w:val="de-DE"/>
        </w:rPr>
        <w:t>−</w:t>
      </w:r>
      <w:r>
        <w:t>π</w:t>
      </w:r>
      <w:r w:rsidRPr="00DB48A2">
        <w:rPr>
          <w:position w:val="-4"/>
          <w:lang w:val="de-DE"/>
        </w:rPr>
        <w:object w:dxaOrig="120" w:dyaOrig="300">
          <v:shape id="_x0000_i1104" type="#_x0000_t75" style="width:6pt;height:15pt" o:ole="">
            <v:imagedata r:id="rId37" o:title=""/>
          </v:shape>
          <o:OLEObject Type="Embed" ProgID="Equation.DSMT4" ShapeID="_x0000_i1104" DrawAspect="Content" ObjectID="_1478976221" r:id="rId107"/>
        </w:object>
      </w:r>
      <w:r w:rsidRPr="003351A1">
        <w:rPr>
          <w:lang w:val="de-DE"/>
        </w:rPr>
        <w:t xml:space="preserve">) yields: </w:t>
      </w:r>
    </w:p>
    <w:p w:rsidR="00AF78EA" w:rsidRDefault="00AF78EA" w:rsidP="00AF78EA">
      <w:pPr>
        <w:rPr>
          <w:lang w:val="de-DE"/>
        </w:rPr>
      </w:pPr>
      <w:r>
        <w:t>β</w:t>
      </w:r>
      <w:r w:rsidRPr="003351A1">
        <w:rPr>
          <w:vertAlign w:val="superscript"/>
          <w:lang w:val="de-DE"/>
        </w:rPr>
        <w:t>a</w:t>
      </w:r>
      <w:r w:rsidRPr="003351A1">
        <w:rPr>
          <w:lang w:val="de-DE"/>
        </w:rPr>
        <w:t>=</w:t>
      </w:r>
      <w:r>
        <w:t>π</w:t>
      </w:r>
      <w:r w:rsidRPr="00DB48A2">
        <w:rPr>
          <w:position w:val="-4"/>
          <w:lang w:val="de-DE"/>
        </w:rPr>
        <w:object w:dxaOrig="120" w:dyaOrig="300">
          <v:shape id="_x0000_i1105" type="#_x0000_t75" style="width:6pt;height:15pt" o:ole="">
            <v:imagedata r:id="rId37" o:title=""/>
          </v:shape>
          <o:OLEObject Type="Embed" ProgID="Equation.DSMT4" ShapeID="_x0000_i1105" DrawAspect="Content" ObjectID="_1478976222" r:id="rId108"/>
        </w:object>
      </w:r>
      <w:r w:rsidRPr="003351A1">
        <w:rPr>
          <w:lang w:val="de-DE"/>
        </w:rPr>
        <w:t>{ E[Y</w:t>
      </w:r>
      <w:r w:rsidR="00CC2489" w:rsidRPr="00CC2489">
        <w:rPr>
          <w:i/>
          <w:vertAlign w:val="superscript"/>
          <w:lang w:val="de-DE"/>
        </w:rPr>
        <w:t>c</w:t>
      </w:r>
      <w:r w:rsidRPr="003351A1">
        <w:rPr>
          <w:lang w:val="de-DE"/>
        </w:rPr>
        <w:t>|X</w:t>
      </w:r>
      <w:r w:rsidR="00CC2489" w:rsidRPr="00CC2489">
        <w:rPr>
          <w:i/>
          <w:lang w:val="de-DE"/>
        </w:rPr>
        <w:t>=t</w:t>
      </w:r>
      <w:r w:rsidRPr="003351A1">
        <w:rPr>
          <w:lang w:val="de-DE"/>
        </w:rPr>
        <w:t>]</w:t>
      </w:r>
      <w:r w:rsidR="00601417">
        <w:rPr>
          <w:lang w:val="de-DE"/>
        </w:rPr>
        <w:t>−</w:t>
      </w:r>
      <w:r w:rsidRPr="003351A1">
        <w:rPr>
          <w:lang w:val="de-DE"/>
        </w:rPr>
        <w:t>E[Y</w:t>
      </w:r>
      <w:r w:rsidR="00CC2489" w:rsidRPr="00CC2489">
        <w:rPr>
          <w:i/>
          <w:vertAlign w:val="superscript"/>
          <w:lang w:val="de-DE"/>
        </w:rPr>
        <w:t>c</w:t>
      </w:r>
      <w:r w:rsidRPr="003351A1">
        <w:rPr>
          <w:lang w:val="de-DE"/>
        </w:rPr>
        <w:t>|X</w:t>
      </w:r>
      <w:r w:rsidR="00CC2489" w:rsidRPr="00CC2489">
        <w:rPr>
          <w:i/>
          <w:lang w:val="de-DE"/>
        </w:rPr>
        <w:t>=c</w:t>
      </w:r>
      <w:r w:rsidRPr="003351A1">
        <w:rPr>
          <w:lang w:val="de-DE"/>
        </w:rPr>
        <w:t>]}+(1</w:t>
      </w:r>
      <w:r w:rsidR="00601417">
        <w:rPr>
          <w:lang w:val="de-DE"/>
        </w:rPr>
        <w:t>−</w:t>
      </w:r>
      <w:r>
        <w:t>π</w:t>
      </w:r>
      <w:r w:rsidRPr="00DB48A2">
        <w:rPr>
          <w:position w:val="-4"/>
          <w:lang w:val="de-DE"/>
        </w:rPr>
        <w:object w:dxaOrig="120" w:dyaOrig="300">
          <v:shape id="_x0000_i1106" type="#_x0000_t75" style="width:6pt;height:15pt" o:ole="">
            <v:imagedata r:id="rId37" o:title=""/>
          </v:shape>
          <o:OLEObject Type="Embed" ProgID="Equation.DSMT4" ShapeID="_x0000_i1106" DrawAspect="Content" ObjectID="_1478976223" r:id="rId109"/>
        </w:object>
      </w:r>
      <w:r w:rsidRPr="003351A1">
        <w:rPr>
          <w:lang w:val="de-DE"/>
        </w:rPr>
        <w:t>){E[Y</w:t>
      </w:r>
      <w:r w:rsidR="00CC2489" w:rsidRPr="00CC2489">
        <w:rPr>
          <w:i/>
          <w:vertAlign w:val="superscript"/>
          <w:lang w:val="de-DE"/>
        </w:rPr>
        <w:t>t</w:t>
      </w:r>
      <w:r w:rsidRPr="003351A1">
        <w:rPr>
          <w:lang w:val="de-DE"/>
        </w:rPr>
        <w:t>|X</w:t>
      </w:r>
      <w:r w:rsidR="00CC2489" w:rsidRPr="00CC2489">
        <w:rPr>
          <w:i/>
          <w:lang w:val="de-DE"/>
        </w:rPr>
        <w:t>=t</w:t>
      </w:r>
      <w:r w:rsidRPr="003351A1">
        <w:rPr>
          <w:lang w:val="de-DE"/>
        </w:rPr>
        <w:t>]</w:t>
      </w:r>
      <w:r w:rsidR="00601417">
        <w:rPr>
          <w:lang w:val="de-DE"/>
        </w:rPr>
        <w:t>−</w:t>
      </w:r>
      <w:r w:rsidRPr="003351A1">
        <w:rPr>
          <w:lang w:val="de-DE"/>
        </w:rPr>
        <w:t>E[Y</w:t>
      </w:r>
      <w:r w:rsidR="00CC2489" w:rsidRPr="00CC2489">
        <w:rPr>
          <w:i/>
          <w:vertAlign w:val="superscript"/>
          <w:lang w:val="de-DE"/>
        </w:rPr>
        <w:t>t</w:t>
      </w:r>
      <w:r>
        <w:rPr>
          <w:lang w:val="de-DE"/>
        </w:rPr>
        <w:t>|X</w:t>
      </w:r>
      <w:r w:rsidR="00CC2489" w:rsidRPr="00CC2489">
        <w:rPr>
          <w:i/>
          <w:lang w:val="de-DE"/>
        </w:rPr>
        <w:t>=c</w:t>
      </w:r>
      <w:r w:rsidR="00E43545">
        <w:rPr>
          <w:lang w:val="de-DE"/>
        </w:rPr>
        <w:t>]} , (A5</w:t>
      </w:r>
      <w:r>
        <w:rPr>
          <w:lang w:val="de-DE"/>
        </w:rPr>
        <w:t>)</w:t>
      </w:r>
    </w:p>
    <w:p w:rsidR="00FE1BFD" w:rsidRDefault="00FE1BFD" w:rsidP="00AF78EA">
      <w:pPr>
        <w:rPr>
          <w:lang w:val="de-DE"/>
        </w:rPr>
      </w:pPr>
    </w:p>
    <w:p w:rsidR="00AF78EA" w:rsidRDefault="00AF78EA" w:rsidP="00AF78EA">
      <w:r>
        <w:rPr>
          <w:lang w:val="de-DE"/>
        </w:rPr>
        <w:t>as in the main text.</w:t>
      </w:r>
    </w:p>
    <w:p w:rsidR="00AF78EA" w:rsidRDefault="00AF78EA" w:rsidP="00AF78EA">
      <w:pPr>
        <w:rPr>
          <w:lang w:val="de-DE"/>
        </w:rPr>
      </w:pPr>
    </w:p>
    <w:p w:rsidR="008C4FA6" w:rsidRDefault="008C4FA6" w:rsidP="00AF78EA">
      <w:pPr>
        <w:rPr>
          <w:lang w:val="de-DE"/>
        </w:rPr>
      </w:pPr>
    </w:p>
    <w:p w:rsidR="00AF78EA" w:rsidRPr="00826A88" w:rsidRDefault="00AF78EA" w:rsidP="00AF78EA">
      <w:pPr>
        <w:spacing w:line="480" w:lineRule="auto"/>
        <w:jc w:val="center"/>
        <w:rPr>
          <w:i/>
        </w:rPr>
      </w:pPr>
      <w:r w:rsidRPr="00826A88">
        <w:rPr>
          <w:i/>
        </w:rPr>
        <w:t xml:space="preserve">Bias due to Non-Random </w:t>
      </w:r>
      <w:r w:rsidR="00A83094">
        <w:rPr>
          <w:i/>
        </w:rPr>
        <w:t>Sampling</w:t>
      </w:r>
    </w:p>
    <w:p w:rsidR="008C4FA6" w:rsidRDefault="009706D5" w:rsidP="00AF78EA">
      <w:pPr>
        <w:spacing w:line="480" w:lineRule="auto"/>
      </w:pPr>
      <w:r>
        <w:t>Equation (7</w:t>
      </w:r>
      <w:r w:rsidR="008C4FA6">
        <w:t>) in the main text is:</w:t>
      </w:r>
    </w:p>
    <w:p w:rsidR="008C4FA6" w:rsidRDefault="008C4FA6" w:rsidP="008C4FA6">
      <w:pPr>
        <w:spacing w:line="480" w:lineRule="auto"/>
      </w:pPr>
      <w:r w:rsidRPr="008A0275">
        <w:rPr>
          <w:position w:val="-6"/>
          <w:sz w:val="20"/>
        </w:rPr>
        <w:object w:dxaOrig="240" w:dyaOrig="320">
          <v:shape id="_x0000_i1107" type="#_x0000_t75" style="width:12pt;height:15.75pt" o:ole="" fillcolor="window">
            <v:imagedata r:id="rId89" o:title=""/>
          </v:shape>
          <o:OLEObject Type="Embed" ProgID="Equation.DSMT4" ShapeID="_x0000_i1107" DrawAspect="Content" ObjectID="_1478976224" r:id="rId110"/>
        </w:object>
      </w:r>
      <w:r>
        <w:t>=</w:t>
      </w:r>
      <w:r w:rsidRPr="003E5AB1">
        <w:t xml:space="preserve"> </w:t>
      </w:r>
      <w:r>
        <w:t>π</w:t>
      </w:r>
      <w:r w:rsidR="003577D3" w:rsidRPr="00CC2489">
        <w:rPr>
          <w:i/>
          <w:vertAlign w:val="superscript"/>
        </w:rPr>
        <w:t>p</w:t>
      </w:r>
      <w:r w:rsidRPr="008A0275">
        <w:rPr>
          <w:position w:val="-6"/>
          <w:sz w:val="20"/>
        </w:rPr>
        <w:object w:dxaOrig="240" w:dyaOrig="320">
          <v:shape id="_x0000_i1108" type="#_x0000_t75" style="width:12pt;height:15.75pt" o:ole="" fillcolor="window">
            <v:imagedata r:id="rId89" o:title=""/>
          </v:shape>
          <o:OLEObject Type="Embed" ProgID="Equation.DSMT4" ShapeID="_x0000_i1108" DrawAspect="Content" ObjectID="_1478976225" r:id="rId111"/>
        </w:object>
      </w:r>
      <w:proofErr w:type="spellStart"/>
      <w:r w:rsidR="003577D3" w:rsidRPr="00CC2489">
        <w:rPr>
          <w:i/>
          <w:vertAlign w:val="superscript"/>
        </w:rPr>
        <w:t>p</w:t>
      </w:r>
      <w:proofErr w:type="spellEnd"/>
      <w:r>
        <w:rPr>
          <w:vertAlign w:val="superscript"/>
        </w:rPr>
        <w:t xml:space="preserve"> </w:t>
      </w:r>
      <w:proofErr w:type="gramStart"/>
      <w:r>
        <w:t>+(</w:t>
      </w:r>
      <w:proofErr w:type="gramEnd"/>
      <w:r>
        <w:t>1</w:t>
      </w:r>
      <w:r w:rsidR="00601417">
        <w:t>−</w:t>
      </w:r>
      <w:r w:rsidRPr="003E5AB1">
        <w:t xml:space="preserve"> </w:t>
      </w:r>
      <w:r>
        <w:t>π</w:t>
      </w:r>
      <w:r w:rsidR="003577D3" w:rsidRPr="00253007">
        <w:rPr>
          <w:i/>
          <w:vertAlign w:val="superscript"/>
        </w:rPr>
        <w:t>p</w:t>
      </w:r>
      <w:r>
        <w:t>)</w:t>
      </w:r>
      <w:r w:rsidRPr="003E5AB1">
        <w:rPr>
          <w:position w:val="-6"/>
          <w:sz w:val="20"/>
        </w:rPr>
        <w:t xml:space="preserve"> </w:t>
      </w:r>
      <w:r w:rsidRPr="008A0275">
        <w:rPr>
          <w:position w:val="-6"/>
          <w:sz w:val="20"/>
        </w:rPr>
        <w:object w:dxaOrig="240" w:dyaOrig="320">
          <v:shape id="_x0000_i1109" type="#_x0000_t75" style="width:12pt;height:15.75pt" o:ole="" fillcolor="window">
            <v:imagedata r:id="rId89" o:title=""/>
          </v:shape>
          <o:OLEObject Type="Embed" ProgID="Equation.DSMT4" ShapeID="_x0000_i1109" DrawAspect="Content" ObjectID="_1478976226" r:id="rId112"/>
        </w:object>
      </w:r>
      <w:r w:rsidR="00425574" w:rsidRPr="00425574">
        <w:rPr>
          <w:i/>
          <w:vertAlign w:val="superscript"/>
        </w:rPr>
        <w:t>p</w:t>
      </w:r>
      <w:r w:rsidR="00676940">
        <w:rPr>
          <w:i/>
          <w:color w:val="000000"/>
        </w:rPr>
        <w:t>´</w:t>
      </w:r>
      <w:r>
        <w:rPr>
          <w:vertAlign w:val="superscript"/>
        </w:rPr>
        <w:t xml:space="preserve"> </w:t>
      </w:r>
      <w:r>
        <w:t>. (</w:t>
      </w:r>
      <w:r w:rsidR="00792F6B">
        <w:t>7</w:t>
      </w:r>
      <w:r>
        <w:t>)</w:t>
      </w:r>
    </w:p>
    <w:p w:rsidR="00AF78EA" w:rsidRDefault="009706D5" w:rsidP="00AF78EA">
      <w:pPr>
        <w:spacing w:line="480" w:lineRule="auto"/>
      </w:pPr>
      <w:r>
        <w:t>As in the main text, let Z=</w:t>
      </w:r>
      <w:r w:rsidRPr="00425574">
        <w:rPr>
          <w:i/>
        </w:rPr>
        <w:t>p</w:t>
      </w:r>
      <w:r>
        <w:t xml:space="preserve"> if a unit is in </w:t>
      </w:r>
      <w:r>
        <w:rPr>
          <w:i/>
        </w:rPr>
        <w:t>p</w:t>
      </w:r>
      <w:r>
        <w:t>, and Z=</w:t>
      </w:r>
      <w:r w:rsidRPr="00425574">
        <w:rPr>
          <w:i/>
        </w:rPr>
        <w:t>p</w:t>
      </w:r>
      <w:r>
        <w:rPr>
          <w:i/>
          <w:color w:val="000000"/>
        </w:rPr>
        <w:t>´</w:t>
      </w:r>
      <w:r>
        <w:t xml:space="preserve"> if a unit is in </w:t>
      </w:r>
      <w:r w:rsidRPr="00425574">
        <w:rPr>
          <w:i/>
        </w:rPr>
        <w:t>p</w:t>
      </w:r>
      <w:r>
        <w:rPr>
          <w:i/>
          <w:color w:val="000000"/>
        </w:rPr>
        <w:t>´</w:t>
      </w:r>
      <w:r>
        <w:t xml:space="preserve">.  Combining </w:t>
      </w:r>
      <w:proofErr w:type="gramStart"/>
      <w:r>
        <w:t>this the</w:t>
      </w:r>
      <w:proofErr w:type="gramEnd"/>
      <w:r>
        <w:t xml:space="preserve"> notation of RCM, </w:t>
      </w:r>
      <w:proofErr w:type="spellStart"/>
      <w:r>
        <w:t>Y</w:t>
      </w:r>
      <w:r w:rsidRPr="00CC2489">
        <w:rPr>
          <w:i/>
          <w:vertAlign w:val="superscript"/>
        </w:rPr>
        <w:t>t</w:t>
      </w:r>
      <w:proofErr w:type="spellEnd"/>
      <w:r>
        <w:rPr>
          <w:vertAlign w:val="subscript"/>
        </w:rPr>
        <w:t xml:space="preserve"> </w:t>
      </w:r>
      <w:r>
        <w:t>| Z=</w:t>
      </w:r>
      <w:r w:rsidRPr="00425574">
        <w:rPr>
          <w:i/>
        </w:rPr>
        <w:t>p</w:t>
      </w:r>
      <w:r>
        <w:t xml:space="preserve"> represents the treatment outcome for a unit in the population from which the cases were sampled (</w:t>
      </w:r>
      <w:r>
        <w:rPr>
          <w:i/>
        </w:rPr>
        <w:t>p</w:t>
      </w:r>
      <w:r>
        <w:t xml:space="preserve">), and </w:t>
      </w:r>
      <w:proofErr w:type="spellStart"/>
      <w:r>
        <w:t>Y</w:t>
      </w:r>
      <w:r>
        <w:rPr>
          <w:i/>
          <w:vertAlign w:val="superscript"/>
        </w:rPr>
        <w:t>c</w:t>
      </w:r>
      <w:proofErr w:type="spellEnd"/>
      <w:r>
        <w:rPr>
          <w:vertAlign w:val="subscript"/>
        </w:rPr>
        <w:t xml:space="preserve"> </w:t>
      </w:r>
      <w:r>
        <w:t>| Z=</w:t>
      </w:r>
      <w:r w:rsidRPr="00425574">
        <w:rPr>
          <w:i/>
        </w:rPr>
        <w:t>p</w:t>
      </w:r>
      <w:r>
        <w:rPr>
          <w:i/>
          <w:color w:val="000000"/>
        </w:rPr>
        <w:t>´</w:t>
      </w:r>
      <w:r>
        <w:t xml:space="preserve"> represents the control outcome for a unit in the population from which cases were not sampled (</w:t>
      </w:r>
      <w:r w:rsidRPr="00425574">
        <w:rPr>
          <w:i/>
        </w:rPr>
        <w:t>p</w:t>
      </w:r>
      <w:r>
        <w:rPr>
          <w:i/>
          <w:color w:val="000000"/>
        </w:rPr>
        <w:t>´</w:t>
      </w:r>
      <w:r>
        <w:t>). Using this notation, t</w:t>
      </w:r>
      <w:r w:rsidR="00792F6B">
        <w:t xml:space="preserve">aking expectations </w:t>
      </w:r>
      <w:r>
        <w:t xml:space="preserve">of (7) </w:t>
      </w:r>
      <w:r w:rsidR="00AF78EA">
        <w:t>yields:</w:t>
      </w:r>
    </w:p>
    <w:p w:rsidR="00AF78EA" w:rsidRPr="003351A1" w:rsidRDefault="00AF78EA" w:rsidP="00AF78EA">
      <w:pPr>
        <w:spacing w:line="480" w:lineRule="auto"/>
        <w:ind w:firstLine="720"/>
      </w:pPr>
      <w:proofErr w:type="gramStart"/>
      <w:r w:rsidRPr="003351A1">
        <w:t>E[</w:t>
      </w:r>
      <w:proofErr w:type="gramEnd"/>
      <w:r w:rsidRPr="008A0275">
        <w:rPr>
          <w:position w:val="-6"/>
          <w:sz w:val="20"/>
          <w:lang w:val="de-DE"/>
        </w:rPr>
        <w:object w:dxaOrig="220" w:dyaOrig="340">
          <v:shape id="_x0000_i1110" type="#_x0000_t75" style="width:11.25pt;height:17.25pt" o:ole="" fillcolor="window">
            <v:imagedata r:id="rId64" o:title=""/>
          </v:shape>
          <o:OLEObject Type="Embed" ProgID="Equation.DSMT4" ShapeID="_x0000_i1110" DrawAspect="Content" ObjectID="_1478976227" r:id="rId113"/>
        </w:object>
      </w:r>
      <w:r w:rsidR="00523E1E" w:rsidRPr="003351A1">
        <w:fldChar w:fldCharType="begin"/>
      </w:r>
      <w:r w:rsidRPr="003351A1">
        <w:instrText>EQ \O()</w:instrText>
      </w:r>
      <w:r w:rsidR="00523E1E" w:rsidRPr="003351A1">
        <w:fldChar w:fldCharType="end"/>
      </w:r>
      <w:r w:rsidRPr="003351A1">
        <w:t>]=</w:t>
      </w:r>
      <w:r w:rsidRPr="008A0275">
        <w:rPr>
          <w:position w:val="-6"/>
          <w:sz w:val="20"/>
          <w:lang w:val="de-DE"/>
        </w:rPr>
        <w:object w:dxaOrig="240" w:dyaOrig="320">
          <v:shape id="_x0000_i1111" type="#_x0000_t75" style="width:12pt;height:15.75pt" o:ole="" fillcolor="window">
            <v:imagedata r:id="rId89" o:title=""/>
          </v:shape>
          <o:OLEObject Type="Embed" ProgID="Equation.DSMT4" ShapeID="_x0000_i1111" DrawAspect="Content" ObjectID="_1478976228" r:id="rId114"/>
        </w:object>
      </w:r>
      <w:r w:rsidRPr="003351A1">
        <w:t>=</w:t>
      </w:r>
    </w:p>
    <w:p w:rsidR="00AF78EA" w:rsidRPr="003351A1" w:rsidRDefault="00AF78EA" w:rsidP="00AF78EA">
      <w:pPr>
        <w:spacing w:line="480" w:lineRule="auto"/>
      </w:pPr>
      <w:r w:rsidRPr="003351A1">
        <w:t xml:space="preserve">    E[</w:t>
      </w:r>
      <w:r>
        <w:t>π</w:t>
      </w:r>
      <w:r w:rsidRPr="003351A1">
        <w:rPr>
          <w:vertAlign w:val="superscript"/>
        </w:rPr>
        <w:t xml:space="preserve"> </w:t>
      </w:r>
      <w:r w:rsidR="003577D3" w:rsidRPr="00CC2489">
        <w:rPr>
          <w:i/>
          <w:vertAlign w:val="superscript"/>
        </w:rPr>
        <w:t>p</w:t>
      </w:r>
      <w:r w:rsidRPr="003351A1">
        <w:rPr>
          <w:position w:val="-12"/>
          <w:sz w:val="20"/>
        </w:rPr>
        <w:t xml:space="preserve"> </w:t>
      </w:r>
      <w:r w:rsidRPr="008A0275">
        <w:rPr>
          <w:position w:val="-6"/>
          <w:sz w:val="20"/>
          <w:lang w:val="de-DE"/>
        </w:rPr>
        <w:object w:dxaOrig="240" w:dyaOrig="320">
          <v:shape id="_x0000_i1112" type="#_x0000_t75" style="width:12pt;height:15.75pt" o:ole="" fillcolor="window">
            <v:imagedata r:id="rId89" o:title=""/>
          </v:shape>
          <o:OLEObject Type="Embed" ProgID="Equation.DSMT4" ShapeID="_x0000_i1112" DrawAspect="Content" ObjectID="_1478976229" r:id="rId115"/>
        </w:object>
      </w:r>
      <w:r w:rsidR="00523E1E" w:rsidRPr="003351A1">
        <w:fldChar w:fldCharType="begin"/>
      </w:r>
      <w:r w:rsidRPr="003351A1">
        <w:instrText>EQ \O()</w:instrText>
      </w:r>
      <w:r w:rsidR="00523E1E" w:rsidRPr="003351A1">
        <w:fldChar w:fldCharType="end"/>
      </w:r>
      <w:proofErr w:type="spellStart"/>
      <w:r w:rsidR="003577D3" w:rsidRPr="00CC2489">
        <w:rPr>
          <w:i/>
          <w:vertAlign w:val="superscript"/>
        </w:rPr>
        <w:t>p</w:t>
      </w:r>
      <w:proofErr w:type="spellEnd"/>
      <w:r w:rsidRPr="003351A1">
        <w:t xml:space="preserve"> +(1</w:t>
      </w:r>
      <w:r w:rsidR="00601417">
        <w:t>−</w:t>
      </w:r>
      <w:r>
        <w:t>π</w:t>
      </w:r>
      <w:r w:rsidRPr="003351A1">
        <w:rPr>
          <w:vertAlign w:val="superscript"/>
        </w:rPr>
        <w:t xml:space="preserve"> </w:t>
      </w:r>
      <w:r w:rsidR="003577D3" w:rsidRPr="00CC2489">
        <w:rPr>
          <w:i/>
          <w:vertAlign w:val="superscript"/>
        </w:rPr>
        <w:t>p</w:t>
      </w:r>
      <w:r w:rsidRPr="003351A1">
        <w:t>)</w:t>
      </w:r>
      <w:r w:rsidRPr="003351A1">
        <w:rPr>
          <w:position w:val="-12"/>
          <w:sz w:val="20"/>
        </w:rPr>
        <w:t xml:space="preserve"> </w:t>
      </w:r>
      <w:r w:rsidRPr="008A0275">
        <w:rPr>
          <w:position w:val="-6"/>
          <w:sz w:val="20"/>
          <w:lang w:val="de-DE"/>
        </w:rPr>
        <w:object w:dxaOrig="240" w:dyaOrig="320">
          <v:shape id="_x0000_i1113" type="#_x0000_t75" style="width:12pt;height:15.75pt" o:ole="" fillcolor="window">
            <v:imagedata r:id="rId89" o:title=""/>
          </v:shape>
          <o:OLEObject Type="Embed" ProgID="Equation.DSMT4" ShapeID="_x0000_i1113" DrawAspect="Content" ObjectID="_1478976230" r:id="rId116"/>
        </w:object>
      </w:r>
      <w:r w:rsidR="00523E1E" w:rsidRPr="003351A1">
        <w:fldChar w:fldCharType="begin"/>
      </w:r>
      <w:r w:rsidRPr="003351A1">
        <w:instrText>EQ \O()</w:instrText>
      </w:r>
      <w:r w:rsidR="00523E1E" w:rsidRPr="003351A1">
        <w:fldChar w:fldCharType="end"/>
      </w:r>
      <w:r w:rsidR="003577D3" w:rsidRPr="003577D3">
        <w:rPr>
          <w:vertAlign w:val="superscript"/>
        </w:rPr>
        <w:t xml:space="preserve"> </w:t>
      </w:r>
      <w:r w:rsidR="00425574" w:rsidRPr="00425574">
        <w:rPr>
          <w:i/>
          <w:vertAlign w:val="superscript"/>
        </w:rPr>
        <w:t>pʹ</w:t>
      </w:r>
      <w:r w:rsidRPr="003351A1">
        <w:t xml:space="preserve">]= </w:t>
      </w:r>
      <w:r>
        <w:t>π</w:t>
      </w:r>
      <w:r w:rsidRPr="003351A1">
        <w:rPr>
          <w:vertAlign w:val="superscript"/>
        </w:rPr>
        <w:t xml:space="preserve"> </w:t>
      </w:r>
      <w:r w:rsidR="003577D3" w:rsidRPr="00CC2489">
        <w:rPr>
          <w:i/>
          <w:vertAlign w:val="superscript"/>
        </w:rPr>
        <w:t>p</w:t>
      </w:r>
      <w:r w:rsidRPr="003351A1">
        <w:t xml:space="preserve"> (E[</w:t>
      </w:r>
      <w:proofErr w:type="spellStart"/>
      <w:r w:rsidRPr="003351A1">
        <w:t>Y</w:t>
      </w:r>
      <w:r w:rsidR="00CC2489" w:rsidRPr="00CC2489">
        <w:rPr>
          <w:i/>
          <w:vertAlign w:val="superscript"/>
        </w:rPr>
        <w:t>t</w:t>
      </w:r>
      <w:r w:rsidRPr="003351A1">
        <w:t>|</w:t>
      </w:r>
      <w:r w:rsidR="00070BB3">
        <w:t>Z</w:t>
      </w:r>
      <w:proofErr w:type="spellEnd"/>
      <w:r w:rsidR="00070BB3">
        <w:t>=</w:t>
      </w:r>
      <w:r w:rsidR="00070BB3" w:rsidRPr="00CC2489">
        <w:rPr>
          <w:i/>
        </w:rPr>
        <w:t>p</w:t>
      </w:r>
      <w:r w:rsidRPr="003351A1">
        <w:t>]</w:t>
      </w:r>
      <w:r w:rsidR="00601417">
        <w:t>−</w:t>
      </w:r>
      <w:r w:rsidRPr="003351A1">
        <w:t>E[</w:t>
      </w:r>
      <w:proofErr w:type="spellStart"/>
      <w:r w:rsidRPr="003351A1">
        <w:t>Y</w:t>
      </w:r>
      <w:r w:rsidR="00CC2489" w:rsidRPr="00CC2489">
        <w:rPr>
          <w:i/>
          <w:vertAlign w:val="superscript"/>
        </w:rPr>
        <w:t>c</w:t>
      </w:r>
      <w:r w:rsidRPr="003351A1">
        <w:t>|</w:t>
      </w:r>
      <w:r w:rsidR="00070BB3">
        <w:t>Z</w:t>
      </w:r>
      <w:proofErr w:type="spellEnd"/>
      <w:r w:rsidR="00070BB3">
        <w:t>=</w:t>
      </w:r>
      <w:r w:rsidR="00070BB3" w:rsidRPr="00CC2489">
        <w:rPr>
          <w:i/>
        </w:rPr>
        <w:t>p</w:t>
      </w:r>
      <w:r w:rsidRPr="003351A1">
        <w:t>])+(1</w:t>
      </w:r>
      <w:r w:rsidR="00601417">
        <w:t>−</w:t>
      </w:r>
      <w:r>
        <w:t>π</w:t>
      </w:r>
      <w:r w:rsidRPr="003351A1">
        <w:rPr>
          <w:vertAlign w:val="superscript"/>
        </w:rPr>
        <w:t xml:space="preserve"> </w:t>
      </w:r>
      <w:r w:rsidR="003577D3" w:rsidRPr="00253007">
        <w:rPr>
          <w:i/>
          <w:vertAlign w:val="superscript"/>
        </w:rPr>
        <w:t>p</w:t>
      </w:r>
      <w:r w:rsidRPr="003351A1">
        <w:t>)(E[</w:t>
      </w:r>
      <w:proofErr w:type="spellStart"/>
      <w:r w:rsidRPr="003351A1">
        <w:t>Y</w:t>
      </w:r>
      <w:r w:rsidR="00CC2489" w:rsidRPr="00CC2489">
        <w:rPr>
          <w:i/>
          <w:vertAlign w:val="superscript"/>
        </w:rPr>
        <w:t>t</w:t>
      </w:r>
      <w:r w:rsidRPr="003351A1">
        <w:t>|</w:t>
      </w:r>
      <w:r w:rsidR="00070BB3">
        <w:t>Z</w:t>
      </w:r>
      <w:proofErr w:type="spellEnd"/>
      <w:r w:rsidR="00070BB3">
        <w:t>=</w:t>
      </w:r>
      <w:r w:rsidR="00425574" w:rsidRPr="00425574">
        <w:rPr>
          <w:i/>
        </w:rPr>
        <w:t>p</w:t>
      </w:r>
      <w:r w:rsidR="00676940">
        <w:rPr>
          <w:i/>
          <w:color w:val="000000"/>
        </w:rPr>
        <w:t>´</w:t>
      </w:r>
      <w:r w:rsidRPr="003351A1">
        <w:t>]</w:t>
      </w:r>
      <w:r w:rsidR="00601417">
        <w:t>−</w:t>
      </w:r>
      <w:r w:rsidRPr="003351A1">
        <w:t>E[</w:t>
      </w:r>
      <w:proofErr w:type="spellStart"/>
      <w:r w:rsidRPr="003351A1">
        <w:t>Y</w:t>
      </w:r>
      <w:r w:rsidR="00CC2489" w:rsidRPr="00CC2489">
        <w:rPr>
          <w:i/>
          <w:vertAlign w:val="superscript"/>
        </w:rPr>
        <w:t>c</w:t>
      </w:r>
      <w:r>
        <w:t>|</w:t>
      </w:r>
      <w:r w:rsidR="00070BB3">
        <w:t>Z</w:t>
      </w:r>
      <w:proofErr w:type="spellEnd"/>
      <w:r w:rsidR="00070BB3">
        <w:t>=</w:t>
      </w:r>
      <w:r w:rsidR="00425574" w:rsidRPr="00425574">
        <w:rPr>
          <w:i/>
        </w:rPr>
        <w:t>p</w:t>
      </w:r>
      <w:r w:rsidR="00676940">
        <w:rPr>
          <w:i/>
          <w:color w:val="000000"/>
        </w:rPr>
        <w:t>´</w:t>
      </w:r>
      <w:r w:rsidR="00792F6B">
        <w:t>])  (A6</w:t>
      </w:r>
      <w:r w:rsidRPr="003351A1">
        <w:t>)</w:t>
      </w:r>
    </w:p>
    <w:p w:rsidR="00AF78EA" w:rsidRDefault="009706D5" w:rsidP="00AF78EA">
      <w:pPr>
        <w:spacing w:line="480" w:lineRule="auto"/>
      </w:pPr>
      <w:r>
        <w:t>I</w:t>
      </w:r>
      <w:r w:rsidR="00AF78EA">
        <w:t>n th</w:t>
      </w:r>
      <w:r>
        <w:t xml:space="preserve">e same </w:t>
      </w:r>
      <w:r w:rsidR="00AF78EA">
        <w:t xml:space="preserve">notation the expectation for the standard estimator, </w:t>
      </w:r>
      <w:r w:rsidR="00AF78EA" w:rsidRPr="008A0275">
        <w:rPr>
          <w:position w:val="-6"/>
          <w:sz w:val="20"/>
        </w:rPr>
        <w:object w:dxaOrig="220" w:dyaOrig="340">
          <v:shape id="_x0000_i1114" type="#_x0000_t75" style="width:11.25pt;height:17.25pt" o:ole="" fillcolor="window">
            <v:imagedata r:id="rId64" o:title=""/>
          </v:shape>
          <o:OLEObject Type="Embed" ProgID="Equation.DSMT4" ShapeID="_x0000_i1114" DrawAspect="Content" ObjectID="_1478976231" r:id="rId117"/>
        </w:object>
      </w:r>
      <w:r w:rsidR="00AF78EA" w:rsidRPr="005E6213">
        <w:rPr>
          <w:vertAlign w:val="superscript"/>
        </w:rPr>
        <w:t xml:space="preserve"> </w:t>
      </w:r>
      <w:r w:rsidR="00AF78EA">
        <w:t xml:space="preserve"> (e.g., the difference in observed means between the treatment and control group) is</w:t>
      </w:r>
    </w:p>
    <w:p w:rsidR="00AF78EA" w:rsidRPr="008607D1" w:rsidRDefault="00AF78EA" w:rsidP="00AF78EA">
      <w:pPr>
        <w:spacing w:line="480" w:lineRule="auto"/>
        <w:ind w:firstLine="720"/>
      </w:pPr>
      <w:r w:rsidRPr="00D72542">
        <w:rPr>
          <w:lang w:val="de-DE"/>
        </w:rPr>
        <w:t>E[</w:t>
      </w:r>
      <w:r w:rsidRPr="008A0275">
        <w:rPr>
          <w:position w:val="-6"/>
          <w:sz w:val="20"/>
          <w:lang w:val="de-DE"/>
        </w:rPr>
        <w:object w:dxaOrig="220" w:dyaOrig="340">
          <v:shape id="_x0000_i1115" type="#_x0000_t75" style="width:11.25pt;height:17.25pt" o:ole="" fillcolor="window">
            <v:imagedata r:id="rId64" o:title=""/>
          </v:shape>
          <o:OLEObject Type="Embed" ProgID="Equation.DSMT4" ShapeID="_x0000_i1115" DrawAspect="Content" ObjectID="_1478976232" r:id="rId118"/>
        </w:object>
      </w:r>
      <w:r w:rsidRPr="00D72542">
        <w:rPr>
          <w:lang w:val="de-DE"/>
        </w:rPr>
        <w:t>]=</w:t>
      </w:r>
      <w:r w:rsidRPr="008A0275">
        <w:rPr>
          <w:position w:val="-6"/>
          <w:sz w:val="20"/>
          <w:lang w:val="de-DE"/>
        </w:rPr>
        <w:object w:dxaOrig="240" w:dyaOrig="320">
          <v:shape id="_x0000_i1116" type="#_x0000_t75" style="width:12pt;height:15.75pt" o:ole="" fillcolor="window">
            <v:imagedata r:id="rId89" o:title=""/>
          </v:shape>
          <o:OLEObject Type="Embed" ProgID="Equation.DSMT4" ShapeID="_x0000_i1116" DrawAspect="Content" ObjectID="_1478976233" r:id="rId119"/>
        </w:object>
      </w:r>
      <w:r w:rsidR="003577D3" w:rsidRPr="00CC2489">
        <w:rPr>
          <w:i/>
          <w:vertAlign w:val="superscript"/>
          <w:lang w:val="de-DE"/>
        </w:rPr>
        <w:t>p</w:t>
      </w:r>
      <w:r>
        <w:rPr>
          <w:lang w:val="de-DE"/>
        </w:rPr>
        <w:t xml:space="preserve"> =E[</w:t>
      </w:r>
      <w:r w:rsidRPr="00D72542">
        <w:rPr>
          <w:position w:val="-4"/>
          <w:sz w:val="20"/>
          <w:lang w:val="de-DE"/>
        </w:rPr>
        <w:object w:dxaOrig="240" w:dyaOrig="300">
          <v:shape id="_x0000_i1117" type="#_x0000_t75" style="width:12pt;height:15pt" o:ole="" fillcolor="window">
            <v:imagedata r:id="rId120" o:title=""/>
          </v:shape>
          <o:OLEObject Type="Embed" ProgID="Equation.DSMT4" ShapeID="_x0000_i1117" DrawAspect="Content" ObjectID="_1478976234" r:id="rId121"/>
        </w:object>
      </w:r>
      <w:r w:rsidR="00CC2489" w:rsidRPr="00CC2489">
        <w:rPr>
          <w:i/>
          <w:vertAlign w:val="superscript"/>
          <w:lang w:val="de-DE"/>
        </w:rPr>
        <w:t>t</w:t>
      </w:r>
      <w:r w:rsidRPr="00D72542">
        <w:rPr>
          <w:lang w:val="de-DE"/>
        </w:rPr>
        <w:t>|</w:t>
      </w:r>
      <w:r w:rsidR="00070BB3">
        <w:rPr>
          <w:lang w:val="de-DE"/>
        </w:rPr>
        <w:t>Z=</w:t>
      </w:r>
      <w:r w:rsidR="00070BB3" w:rsidRPr="00CC2489">
        <w:rPr>
          <w:i/>
          <w:lang w:val="de-DE"/>
        </w:rPr>
        <w:t>p</w:t>
      </w:r>
      <w:r>
        <w:rPr>
          <w:lang w:val="de-DE"/>
        </w:rPr>
        <w:t>]</w:t>
      </w:r>
      <w:r w:rsidRPr="00D72542">
        <w:rPr>
          <w:lang w:val="de-DE"/>
        </w:rPr>
        <w:t xml:space="preserve"> –</w:t>
      </w:r>
      <w:r>
        <w:rPr>
          <w:lang w:val="de-DE"/>
        </w:rPr>
        <w:t>E[</w:t>
      </w:r>
      <w:r w:rsidRPr="00D72542">
        <w:rPr>
          <w:position w:val="-4"/>
          <w:sz w:val="20"/>
          <w:lang w:val="de-DE"/>
        </w:rPr>
        <w:object w:dxaOrig="240" w:dyaOrig="300">
          <v:shape id="_x0000_i1118" type="#_x0000_t75" style="width:12pt;height:15pt" o:ole="" fillcolor="window">
            <v:imagedata r:id="rId120" o:title=""/>
          </v:shape>
          <o:OLEObject Type="Embed" ProgID="Equation.DSMT4" ShapeID="_x0000_i1118" DrawAspect="Content" ObjectID="_1478976235" r:id="rId122"/>
        </w:object>
      </w:r>
      <w:r w:rsidR="00CC2489" w:rsidRPr="00CC2489">
        <w:rPr>
          <w:i/>
          <w:vertAlign w:val="superscript"/>
          <w:lang w:val="de-DE"/>
        </w:rPr>
        <w:t>c</w:t>
      </w:r>
      <w:r w:rsidRPr="00D72542">
        <w:rPr>
          <w:lang w:val="de-DE"/>
        </w:rPr>
        <w:t>|</w:t>
      </w:r>
      <w:r w:rsidR="00070BB3">
        <w:rPr>
          <w:lang w:val="de-DE"/>
        </w:rPr>
        <w:t>Z=</w:t>
      </w:r>
      <w:r w:rsidR="00070BB3" w:rsidRPr="00CC2489">
        <w:rPr>
          <w:i/>
          <w:lang w:val="de-DE"/>
        </w:rPr>
        <w:t>p</w:t>
      </w:r>
      <w:r>
        <w:rPr>
          <w:lang w:val="de-DE"/>
        </w:rPr>
        <w:t>]</w:t>
      </w:r>
      <w:r w:rsidRPr="00D72542">
        <w:rPr>
          <w:lang w:val="de-DE"/>
        </w:rPr>
        <w:t xml:space="preserve">.  </w:t>
      </w:r>
      <w:r w:rsidR="00792F6B">
        <w:t>(A7</w:t>
      </w:r>
      <w:r w:rsidRPr="008607D1">
        <w:t>)</w:t>
      </w:r>
    </w:p>
    <w:p w:rsidR="00AF78EA" w:rsidRDefault="00FE1BFD" w:rsidP="00AF78EA">
      <w:pPr>
        <w:spacing w:line="480" w:lineRule="auto"/>
      </w:pPr>
      <w:r>
        <w:t xml:space="preserve">Again defining bias, β </w:t>
      </w:r>
      <w:r w:rsidRPr="002022B6">
        <w:rPr>
          <w:lang w:val="de-DE"/>
        </w:rPr>
        <w:t>=</w:t>
      </w:r>
      <w:proofErr w:type="gramStart"/>
      <w:r w:rsidRPr="002022B6">
        <w:rPr>
          <w:lang w:val="de-DE"/>
        </w:rPr>
        <w:t>E[</w:t>
      </w:r>
      <w:proofErr w:type="gramEnd"/>
      <w:r w:rsidRPr="008A0275">
        <w:rPr>
          <w:position w:val="-6"/>
          <w:sz w:val="20"/>
          <w:lang w:val="de-DE"/>
        </w:rPr>
        <w:object w:dxaOrig="220" w:dyaOrig="340">
          <v:shape id="_x0000_i1119" type="#_x0000_t75" style="width:11.25pt;height:17.25pt" o:ole="" fillcolor="window">
            <v:imagedata r:id="rId97" o:title=""/>
          </v:shape>
          <o:OLEObject Type="Embed" ProgID="Equation.DSMT4" ShapeID="_x0000_i1119" DrawAspect="Content" ObjectID="_1478976236" r:id="rId123"/>
        </w:object>
      </w:r>
      <w:r w:rsidRPr="002022B6">
        <w:rPr>
          <w:lang w:val="de-DE"/>
        </w:rPr>
        <w:t>]</w:t>
      </w:r>
      <w:r>
        <w:rPr>
          <w:lang w:val="de-DE"/>
        </w:rPr>
        <w:t>−</w:t>
      </w:r>
      <w:r w:rsidRPr="002022B6">
        <w:rPr>
          <w:lang w:val="de-DE"/>
        </w:rPr>
        <w:t>E[</w:t>
      </w:r>
      <w:r w:rsidR="00523E1E" w:rsidRPr="002022B6">
        <w:rPr>
          <w:lang w:val="de-DE"/>
        </w:rPr>
        <w:fldChar w:fldCharType="begin"/>
      </w:r>
      <w:r w:rsidRPr="002022B6">
        <w:rPr>
          <w:lang w:val="de-DE"/>
        </w:rPr>
        <w:instrText>EQ \O()</w:instrText>
      </w:r>
      <w:r w:rsidR="00523E1E" w:rsidRPr="002022B6">
        <w:rPr>
          <w:lang w:val="de-DE"/>
        </w:rPr>
        <w:fldChar w:fldCharType="end"/>
      </w:r>
      <w:r w:rsidRPr="008A0275">
        <w:rPr>
          <w:position w:val="-6"/>
          <w:sz w:val="20"/>
          <w:lang w:val="de-DE"/>
        </w:rPr>
        <w:object w:dxaOrig="240" w:dyaOrig="320">
          <v:shape id="_x0000_i1120" type="#_x0000_t75" style="width:12pt;height:15.75pt" o:ole="" fillcolor="window">
            <v:imagedata r:id="rId89" o:title=""/>
          </v:shape>
          <o:OLEObject Type="Embed" ProgID="Equation.DSMT4" ShapeID="_x0000_i1120" DrawAspect="Content" ObjectID="_1478976237" r:id="rId124"/>
        </w:object>
      </w:r>
      <w:r>
        <w:rPr>
          <w:lang w:val="de-DE"/>
        </w:rPr>
        <w:t xml:space="preserve">], the bias due to non-random sampling, </w:t>
      </w:r>
      <w:r>
        <w:t>β</w:t>
      </w:r>
      <w:r>
        <w:rPr>
          <w:vertAlign w:val="superscript"/>
          <w:lang w:val="de-DE"/>
        </w:rPr>
        <w:t>s</w:t>
      </w:r>
      <w:r>
        <w:t xml:space="preserve">, can be </w:t>
      </w:r>
      <w:r w:rsidR="00A83094">
        <w:t xml:space="preserve">defined by </w:t>
      </w:r>
      <w:r w:rsidR="00792F6B">
        <w:t>using the expectations in (A6) and (A7</w:t>
      </w:r>
      <w:r>
        <w:t>):</w:t>
      </w:r>
      <w:r w:rsidR="00AF78EA">
        <w:t xml:space="preserve"> </w:t>
      </w:r>
    </w:p>
    <w:p w:rsidR="00AF78EA" w:rsidRPr="00B116ED" w:rsidRDefault="00AF78EA" w:rsidP="00AF78EA">
      <w:pPr>
        <w:spacing w:line="480" w:lineRule="auto"/>
        <w:ind w:firstLine="720"/>
        <w:rPr>
          <w:lang w:val="de-DE"/>
        </w:rPr>
      </w:pPr>
      <w:proofErr w:type="gramStart"/>
      <w:r>
        <w:t>β</w:t>
      </w:r>
      <w:r w:rsidRPr="00B116ED">
        <w:rPr>
          <w:vertAlign w:val="superscript"/>
          <w:lang w:val="de-DE"/>
        </w:rPr>
        <w:t>s</w:t>
      </w:r>
      <w:r w:rsidRPr="00B116ED">
        <w:rPr>
          <w:lang w:val="de-DE"/>
        </w:rPr>
        <w:t>=</w:t>
      </w:r>
      <w:proofErr w:type="gramEnd"/>
      <w:r w:rsidRPr="00B116ED">
        <w:rPr>
          <w:lang w:val="de-DE"/>
        </w:rPr>
        <w:t>E[</w:t>
      </w:r>
      <w:r w:rsidRPr="00D72542">
        <w:rPr>
          <w:position w:val="-4"/>
          <w:sz w:val="20"/>
          <w:lang w:val="de-DE"/>
        </w:rPr>
        <w:object w:dxaOrig="240" w:dyaOrig="300">
          <v:shape id="_x0000_i1121" type="#_x0000_t75" style="width:12pt;height:15pt" o:ole="" fillcolor="window">
            <v:imagedata r:id="rId120" o:title=""/>
          </v:shape>
          <o:OLEObject Type="Embed" ProgID="Equation.DSMT4" ShapeID="_x0000_i1121" DrawAspect="Content" ObjectID="_1478976238" r:id="rId125"/>
        </w:object>
      </w:r>
      <w:r w:rsidR="00CC2489" w:rsidRPr="00CC2489">
        <w:rPr>
          <w:i/>
          <w:vertAlign w:val="superscript"/>
          <w:lang w:val="de-DE"/>
        </w:rPr>
        <w:t>t</w:t>
      </w:r>
      <w:r w:rsidRPr="00B116ED">
        <w:rPr>
          <w:lang w:val="de-DE"/>
        </w:rPr>
        <w:t>|</w:t>
      </w:r>
      <w:r w:rsidR="00070BB3">
        <w:rPr>
          <w:lang w:val="de-DE"/>
        </w:rPr>
        <w:t>Z=</w:t>
      </w:r>
      <w:r w:rsidR="00070BB3" w:rsidRPr="00CC2489">
        <w:rPr>
          <w:i/>
          <w:lang w:val="de-DE"/>
        </w:rPr>
        <w:t>p</w:t>
      </w:r>
      <w:r w:rsidRPr="00B116ED">
        <w:rPr>
          <w:lang w:val="de-DE"/>
        </w:rPr>
        <w:t>] –E[</w:t>
      </w:r>
      <w:r w:rsidRPr="00D72542">
        <w:rPr>
          <w:position w:val="-4"/>
          <w:sz w:val="20"/>
          <w:lang w:val="de-DE"/>
        </w:rPr>
        <w:object w:dxaOrig="240" w:dyaOrig="300">
          <v:shape id="_x0000_i1122" type="#_x0000_t75" style="width:12pt;height:15pt" o:ole="" fillcolor="window">
            <v:imagedata r:id="rId120" o:title=""/>
          </v:shape>
          <o:OLEObject Type="Embed" ProgID="Equation.DSMT4" ShapeID="_x0000_i1122" DrawAspect="Content" ObjectID="_1478976239" r:id="rId126"/>
        </w:object>
      </w:r>
      <w:r w:rsidR="00CC2489" w:rsidRPr="00CC2489">
        <w:rPr>
          <w:i/>
          <w:vertAlign w:val="superscript"/>
          <w:lang w:val="de-DE"/>
        </w:rPr>
        <w:t>c</w:t>
      </w:r>
      <w:r w:rsidRPr="00B116ED">
        <w:rPr>
          <w:lang w:val="de-DE"/>
        </w:rPr>
        <w:t>|</w:t>
      </w:r>
      <w:r w:rsidR="00070BB3">
        <w:rPr>
          <w:lang w:val="de-DE"/>
        </w:rPr>
        <w:t>Z=p</w:t>
      </w:r>
      <w:r w:rsidRPr="00B116ED">
        <w:rPr>
          <w:lang w:val="de-DE"/>
        </w:rPr>
        <w:t>]</w:t>
      </w:r>
      <w:r w:rsidR="00601417">
        <w:rPr>
          <w:lang w:val="de-DE"/>
        </w:rPr>
        <w:t>−</w:t>
      </w:r>
    </w:p>
    <w:p w:rsidR="00AF78EA" w:rsidRPr="008607D1" w:rsidRDefault="00AF78EA" w:rsidP="00AF78EA">
      <w:pPr>
        <w:spacing w:line="480" w:lineRule="auto"/>
        <w:ind w:firstLine="720"/>
        <w:rPr>
          <w:lang w:val="de-DE"/>
        </w:rPr>
      </w:pPr>
      <w:r>
        <w:rPr>
          <w:lang w:val="de-DE"/>
        </w:rPr>
        <w:t xml:space="preserve">     </w:t>
      </w:r>
      <w:r w:rsidRPr="00B116ED">
        <w:rPr>
          <w:lang w:val="de-DE"/>
        </w:rPr>
        <w:t>{</w:t>
      </w:r>
      <w:r>
        <w:t>π</w:t>
      </w:r>
      <w:r w:rsidRPr="00B116ED">
        <w:rPr>
          <w:vertAlign w:val="superscript"/>
          <w:lang w:val="de-DE"/>
        </w:rPr>
        <w:t xml:space="preserve"> </w:t>
      </w:r>
      <w:r w:rsidR="003577D3">
        <w:rPr>
          <w:vertAlign w:val="superscript"/>
          <w:lang w:val="de-DE"/>
        </w:rPr>
        <w:t>p</w:t>
      </w:r>
      <w:r w:rsidRPr="00B116ED">
        <w:rPr>
          <w:lang w:val="de-DE"/>
        </w:rPr>
        <w:t xml:space="preserve"> (E[Y</w:t>
      </w:r>
      <w:r w:rsidR="00CC2489" w:rsidRPr="00CC2489">
        <w:rPr>
          <w:i/>
          <w:vertAlign w:val="superscript"/>
          <w:lang w:val="de-DE"/>
        </w:rPr>
        <w:t>t</w:t>
      </w:r>
      <w:r w:rsidRPr="00B116ED">
        <w:rPr>
          <w:lang w:val="de-DE"/>
        </w:rPr>
        <w:t>|</w:t>
      </w:r>
      <w:r w:rsidR="00070BB3">
        <w:rPr>
          <w:lang w:val="de-DE"/>
        </w:rPr>
        <w:t>Z=</w:t>
      </w:r>
      <w:r w:rsidR="00070BB3" w:rsidRPr="00CC2489">
        <w:rPr>
          <w:i/>
          <w:lang w:val="de-DE"/>
        </w:rPr>
        <w:t>p</w:t>
      </w:r>
      <w:r w:rsidRPr="00B116ED">
        <w:rPr>
          <w:lang w:val="de-DE"/>
        </w:rPr>
        <w:t>]</w:t>
      </w:r>
      <w:r w:rsidR="00601417">
        <w:rPr>
          <w:lang w:val="de-DE"/>
        </w:rPr>
        <w:t>−</w:t>
      </w:r>
      <w:r w:rsidRPr="00B116ED">
        <w:rPr>
          <w:lang w:val="de-DE"/>
        </w:rPr>
        <w:t>E[Y</w:t>
      </w:r>
      <w:r w:rsidR="00CC2489" w:rsidRPr="00CC2489">
        <w:rPr>
          <w:i/>
          <w:vertAlign w:val="superscript"/>
          <w:lang w:val="de-DE"/>
        </w:rPr>
        <w:t>c</w:t>
      </w:r>
      <w:r w:rsidRPr="00B116ED">
        <w:rPr>
          <w:lang w:val="de-DE"/>
        </w:rPr>
        <w:t>|</w:t>
      </w:r>
      <w:r w:rsidR="00070BB3">
        <w:rPr>
          <w:lang w:val="de-DE"/>
        </w:rPr>
        <w:t>Z=</w:t>
      </w:r>
      <w:r w:rsidR="00070BB3" w:rsidRPr="00CC2489">
        <w:rPr>
          <w:i/>
          <w:lang w:val="de-DE"/>
        </w:rPr>
        <w:t>p</w:t>
      </w:r>
      <w:r w:rsidRPr="00B116ED">
        <w:rPr>
          <w:lang w:val="de-DE"/>
        </w:rPr>
        <w:t>])+(1</w:t>
      </w:r>
      <w:r w:rsidR="00601417">
        <w:rPr>
          <w:lang w:val="de-DE"/>
        </w:rPr>
        <w:t>−</w:t>
      </w:r>
      <w:r>
        <w:t>π</w:t>
      </w:r>
      <w:r w:rsidRPr="00B116ED">
        <w:rPr>
          <w:vertAlign w:val="superscript"/>
          <w:lang w:val="de-DE"/>
        </w:rPr>
        <w:t xml:space="preserve"> </w:t>
      </w:r>
      <w:r w:rsidR="003577D3" w:rsidRPr="00CC2489">
        <w:rPr>
          <w:i/>
          <w:vertAlign w:val="superscript"/>
          <w:lang w:val="de-DE"/>
        </w:rPr>
        <w:t>p</w:t>
      </w:r>
      <w:r w:rsidRPr="00B116ED">
        <w:rPr>
          <w:lang w:val="de-DE"/>
        </w:rPr>
        <w:t>)(E[Y</w:t>
      </w:r>
      <w:r w:rsidR="00CC2489" w:rsidRPr="00CC2489">
        <w:rPr>
          <w:i/>
          <w:vertAlign w:val="superscript"/>
          <w:lang w:val="de-DE"/>
        </w:rPr>
        <w:t>t</w:t>
      </w:r>
      <w:r w:rsidRPr="00B116ED">
        <w:rPr>
          <w:lang w:val="de-DE"/>
        </w:rPr>
        <w:t>|</w:t>
      </w:r>
      <w:r w:rsidR="00070BB3">
        <w:rPr>
          <w:lang w:val="de-DE"/>
        </w:rPr>
        <w:t>Z=</w:t>
      </w:r>
      <w:r w:rsidR="00425574" w:rsidRPr="00425574">
        <w:rPr>
          <w:i/>
          <w:lang w:val="de-DE"/>
        </w:rPr>
        <w:t>p</w:t>
      </w:r>
      <w:r w:rsidR="00676940">
        <w:rPr>
          <w:i/>
          <w:color w:val="000000"/>
        </w:rPr>
        <w:t>´</w:t>
      </w:r>
      <w:r w:rsidRPr="00B116ED">
        <w:rPr>
          <w:lang w:val="de-DE"/>
        </w:rPr>
        <w:t>]</w:t>
      </w:r>
      <w:r w:rsidR="00601417">
        <w:rPr>
          <w:lang w:val="de-DE"/>
        </w:rPr>
        <w:t>−</w:t>
      </w:r>
      <w:r w:rsidRPr="00B116ED">
        <w:rPr>
          <w:lang w:val="de-DE"/>
        </w:rPr>
        <w:t>E[Y</w:t>
      </w:r>
      <w:r w:rsidR="00CC2489" w:rsidRPr="00CC2489">
        <w:rPr>
          <w:i/>
          <w:vertAlign w:val="superscript"/>
          <w:lang w:val="de-DE"/>
        </w:rPr>
        <w:t>c</w:t>
      </w:r>
      <w:r w:rsidRPr="00B116ED">
        <w:rPr>
          <w:lang w:val="de-DE"/>
        </w:rPr>
        <w:t>|</w:t>
      </w:r>
      <w:r w:rsidR="00070BB3">
        <w:rPr>
          <w:lang w:val="de-DE"/>
        </w:rPr>
        <w:t>Z=</w:t>
      </w:r>
      <w:r w:rsidR="00425574" w:rsidRPr="00425574">
        <w:rPr>
          <w:i/>
          <w:lang w:val="de-DE"/>
        </w:rPr>
        <w:t>p</w:t>
      </w:r>
      <w:r w:rsidR="00676940">
        <w:rPr>
          <w:i/>
          <w:color w:val="000000"/>
        </w:rPr>
        <w:t>´</w:t>
      </w:r>
      <w:r w:rsidRPr="00B116ED">
        <w:rPr>
          <w:lang w:val="de-DE"/>
        </w:rPr>
        <w:t xml:space="preserve">])}.  </w:t>
      </w:r>
      <w:r w:rsidR="00792F6B">
        <w:rPr>
          <w:lang w:val="de-DE"/>
        </w:rPr>
        <w:t>(A8</w:t>
      </w:r>
      <w:r w:rsidRPr="008607D1">
        <w:rPr>
          <w:lang w:val="de-DE"/>
        </w:rPr>
        <w:t>)</w:t>
      </w:r>
    </w:p>
    <w:p w:rsidR="00AF78EA" w:rsidRPr="008607D1" w:rsidRDefault="00AF78EA" w:rsidP="00AF78EA">
      <w:pPr>
        <w:spacing w:line="480" w:lineRule="auto"/>
        <w:rPr>
          <w:lang w:val="de-DE"/>
        </w:rPr>
      </w:pPr>
      <w:r w:rsidRPr="008607D1">
        <w:rPr>
          <w:lang w:val="de-DE"/>
        </w:rPr>
        <w:lastRenderedPageBreak/>
        <w:t xml:space="preserve">Combining terms yields: </w:t>
      </w:r>
    </w:p>
    <w:p w:rsidR="00AF78EA" w:rsidRDefault="00AF78EA" w:rsidP="00AF78EA">
      <w:pPr>
        <w:rPr>
          <w:lang w:val="de-DE"/>
        </w:rPr>
      </w:pPr>
      <w:r>
        <w:t>β</w:t>
      </w:r>
      <w:r w:rsidRPr="008607D1">
        <w:rPr>
          <w:vertAlign w:val="superscript"/>
          <w:lang w:val="de-DE"/>
        </w:rPr>
        <w:t>s</w:t>
      </w:r>
      <w:r w:rsidRPr="008607D1">
        <w:rPr>
          <w:lang w:val="de-DE"/>
        </w:rPr>
        <w:t xml:space="preserve"> =(1</w:t>
      </w:r>
      <w:r w:rsidR="00601417">
        <w:rPr>
          <w:lang w:val="de-DE"/>
        </w:rPr>
        <w:t>−</w:t>
      </w:r>
      <w:r>
        <w:t>π</w:t>
      </w:r>
      <w:r w:rsidRPr="008607D1">
        <w:rPr>
          <w:vertAlign w:val="superscript"/>
          <w:lang w:val="de-DE"/>
        </w:rPr>
        <w:t xml:space="preserve"> </w:t>
      </w:r>
      <w:r w:rsidR="003577D3">
        <w:rPr>
          <w:vertAlign w:val="superscript"/>
          <w:lang w:val="de-DE"/>
        </w:rPr>
        <w:t>p</w:t>
      </w:r>
      <w:r w:rsidRPr="008607D1">
        <w:rPr>
          <w:lang w:val="de-DE"/>
        </w:rPr>
        <w:t>){( E[Y</w:t>
      </w:r>
      <w:r w:rsidR="00CC2489" w:rsidRPr="00CC2489">
        <w:rPr>
          <w:i/>
          <w:vertAlign w:val="superscript"/>
          <w:lang w:val="de-DE"/>
        </w:rPr>
        <w:t>t</w:t>
      </w:r>
      <w:r w:rsidRPr="008607D1">
        <w:rPr>
          <w:lang w:val="de-DE"/>
        </w:rPr>
        <w:t>|</w:t>
      </w:r>
      <w:r w:rsidR="00070BB3">
        <w:rPr>
          <w:lang w:val="de-DE"/>
        </w:rPr>
        <w:t>Z=</w:t>
      </w:r>
      <w:r w:rsidR="00070BB3" w:rsidRPr="00CC2489">
        <w:rPr>
          <w:i/>
          <w:lang w:val="de-DE"/>
        </w:rPr>
        <w:t>p</w:t>
      </w:r>
      <w:r w:rsidRPr="008607D1">
        <w:rPr>
          <w:lang w:val="de-DE"/>
        </w:rPr>
        <w:t>]</w:t>
      </w:r>
      <w:r w:rsidR="00601417">
        <w:rPr>
          <w:lang w:val="de-DE"/>
        </w:rPr>
        <w:t>−</w:t>
      </w:r>
      <w:r w:rsidRPr="008607D1">
        <w:rPr>
          <w:lang w:val="de-DE"/>
        </w:rPr>
        <w:t>E[Y</w:t>
      </w:r>
      <w:r w:rsidR="00CC2489" w:rsidRPr="00CC2489">
        <w:rPr>
          <w:i/>
          <w:vertAlign w:val="superscript"/>
          <w:lang w:val="de-DE"/>
        </w:rPr>
        <w:t>c</w:t>
      </w:r>
      <w:r w:rsidRPr="008607D1">
        <w:rPr>
          <w:lang w:val="de-DE"/>
        </w:rPr>
        <w:t>|</w:t>
      </w:r>
      <w:r w:rsidR="00070BB3">
        <w:rPr>
          <w:lang w:val="de-DE"/>
        </w:rPr>
        <w:t>Z=</w:t>
      </w:r>
      <w:r w:rsidR="00070BB3" w:rsidRPr="00CC2489">
        <w:rPr>
          <w:i/>
          <w:lang w:val="de-DE"/>
        </w:rPr>
        <w:t>p</w:t>
      </w:r>
      <w:r w:rsidRPr="008607D1">
        <w:rPr>
          <w:lang w:val="de-DE"/>
        </w:rPr>
        <w:t>])</w:t>
      </w:r>
      <w:r w:rsidR="00601417">
        <w:rPr>
          <w:lang w:val="de-DE"/>
        </w:rPr>
        <w:t>−</w:t>
      </w:r>
      <w:r w:rsidRPr="008607D1">
        <w:rPr>
          <w:lang w:val="de-DE"/>
        </w:rPr>
        <w:t xml:space="preserve"> (E[Y</w:t>
      </w:r>
      <w:r w:rsidR="00CC2489" w:rsidRPr="00CC2489">
        <w:rPr>
          <w:i/>
          <w:vertAlign w:val="superscript"/>
          <w:lang w:val="de-DE"/>
        </w:rPr>
        <w:t>t</w:t>
      </w:r>
      <w:r>
        <w:rPr>
          <w:lang w:val="de-DE"/>
        </w:rPr>
        <w:t>|</w:t>
      </w:r>
      <w:r w:rsidR="00070BB3">
        <w:rPr>
          <w:lang w:val="de-DE"/>
        </w:rPr>
        <w:t>Z=</w:t>
      </w:r>
      <w:r w:rsidR="00425574" w:rsidRPr="00425574">
        <w:rPr>
          <w:i/>
          <w:lang w:val="de-DE"/>
        </w:rPr>
        <w:t>p</w:t>
      </w:r>
      <w:r w:rsidR="00676940">
        <w:rPr>
          <w:i/>
          <w:color w:val="000000"/>
        </w:rPr>
        <w:t>´</w:t>
      </w:r>
      <w:r>
        <w:rPr>
          <w:lang w:val="de-DE"/>
        </w:rPr>
        <w:t>]</w:t>
      </w:r>
      <w:r w:rsidR="00601417">
        <w:rPr>
          <w:lang w:val="de-DE"/>
        </w:rPr>
        <w:t>−</w:t>
      </w:r>
      <w:r w:rsidRPr="008607D1">
        <w:rPr>
          <w:lang w:val="de-DE"/>
        </w:rPr>
        <w:t>E[Y</w:t>
      </w:r>
      <w:r w:rsidR="00CC2489" w:rsidRPr="00CC2489">
        <w:rPr>
          <w:i/>
          <w:vertAlign w:val="superscript"/>
          <w:lang w:val="de-DE"/>
        </w:rPr>
        <w:t>c</w:t>
      </w:r>
      <w:r>
        <w:rPr>
          <w:lang w:val="de-DE"/>
        </w:rPr>
        <w:t>|</w:t>
      </w:r>
      <w:r w:rsidR="00070BB3">
        <w:rPr>
          <w:lang w:val="de-DE"/>
        </w:rPr>
        <w:t>Z=</w:t>
      </w:r>
      <w:r w:rsidR="00425574" w:rsidRPr="00425574">
        <w:rPr>
          <w:i/>
          <w:lang w:val="de-DE"/>
        </w:rPr>
        <w:t>p</w:t>
      </w:r>
      <w:r w:rsidR="00676940">
        <w:rPr>
          <w:i/>
          <w:color w:val="000000"/>
        </w:rPr>
        <w:t>´</w:t>
      </w:r>
      <w:r w:rsidR="00792F6B">
        <w:rPr>
          <w:lang w:val="de-DE"/>
        </w:rPr>
        <w:t>])} , (A9</w:t>
      </w:r>
      <w:r>
        <w:rPr>
          <w:lang w:val="de-DE"/>
        </w:rPr>
        <w:t>)</w:t>
      </w:r>
    </w:p>
    <w:p w:rsidR="00FE1BFD" w:rsidRDefault="00FE1BFD" w:rsidP="00AF78EA">
      <w:pPr>
        <w:rPr>
          <w:lang w:val="de-DE"/>
        </w:rPr>
      </w:pPr>
    </w:p>
    <w:p w:rsidR="00AF78EA" w:rsidRDefault="00AF78EA" w:rsidP="00AF78EA">
      <w:r>
        <w:rPr>
          <w:lang w:val="de-DE"/>
        </w:rPr>
        <w:t>as in the main text.</w:t>
      </w:r>
    </w:p>
    <w:p w:rsidR="00A511E9" w:rsidRDefault="00A511E9">
      <w:r>
        <w:br w:type="page"/>
      </w:r>
    </w:p>
    <w:p w:rsidR="00792F6B" w:rsidRPr="00792F6B" w:rsidRDefault="00792F6B" w:rsidP="00792F6B">
      <w:pPr>
        <w:widowControl w:val="0"/>
        <w:spacing w:line="480" w:lineRule="auto"/>
        <w:ind w:firstLine="720"/>
        <w:jc w:val="center"/>
        <w:rPr>
          <w:b/>
        </w:rPr>
      </w:pPr>
      <w:r w:rsidRPr="00792F6B">
        <w:rPr>
          <w:b/>
        </w:rPr>
        <w:lastRenderedPageBreak/>
        <w:t>Technical Appendix B</w:t>
      </w:r>
      <w:r>
        <w:rPr>
          <w:b/>
        </w:rPr>
        <w:t xml:space="preserve"> (can be made available only on-line)</w:t>
      </w:r>
      <w:r w:rsidR="00795DD0">
        <w:rPr>
          <w:b/>
        </w:rPr>
        <w:t>:</w:t>
      </w:r>
    </w:p>
    <w:p w:rsidR="00792F6B" w:rsidRPr="00792F6B" w:rsidRDefault="00792F6B" w:rsidP="00792F6B">
      <w:pPr>
        <w:widowControl w:val="0"/>
        <w:spacing w:line="480" w:lineRule="auto"/>
        <w:ind w:firstLine="720"/>
        <w:jc w:val="center"/>
        <w:rPr>
          <w:b/>
        </w:rPr>
      </w:pPr>
      <w:r w:rsidRPr="00792F6B">
        <w:rPr>
          <w:b/>
        </w:rPr>
        <w:t>Application to Studies</w:t>
      </w:r>
      <w:r w:rsidR="00795DD0">
        <w:rPr>
          <w:b/>
        </w:rPr>
        <w:t xml:space="preserve"> Available On-line for Upcoming Publication in this Journal</w:t>
      </w:r>
    </w:p>
    <w:p w:rsidR="00792F6B" w:rsidRDefault="00792F6B" w:rsidP="00792F6B">
      <w:pPr>
        <w:widowControl w:val="0"/>
        <w:spacing w:line="480" w:lineRule="auto"/>
        <w:ind w:firstLine="720"/>
        <w:rPr>
          <w:rStyle w:val="cit-auth"/>
        </w:rPr>
      </w:pPr>
      <w:r>
        <w:t xml:space="preserve">To gain more of a sense of how to interpret robustness in different contexts, we quantified how much bias would be necessary to invalidate inferences in </w:t>
      </w:r>
      <w:r w:rsidR="00795DD0">
        <w:t xml:space="preserve">all of the </w:t>
      </w:r>
      <w:r>
        <w:t>articles available in on-line preprint in</w:t>
      </w:r>
      <w:r w:rsidR="008A2C4E">
        <w:t xml:space="preserve"> </w:t>
      </w:r>
      <w:r w:rsidR="008A2C4E">
        <w:rPr>
          <w:i/>
        </w:rPr>
        <w:t xml:space="preserve">Education, Evaluation and Policy Analysis </w:t>
      </w:r>
      <w:r w:rsidR="00795DD0">
        <w:t xml:space="preserve">as of Dec 19, 2012 (dates for the articles range </w:t>
      </w:r>
      <w:r>
        <w:t>from July 24 2012</w:t>
      </w:r>
      <w:r w:rsidR="00795DD0">
        <w:t xml:space="preserve"> to </w:t>
      </w:r>
      <w:r>
        <w:t>Nov 15 2012</w:t>
      </w:r>
      <w:r w:rsidR="00795DD0">
        <w:t>)</w:t>
      </w:r>
      <w:r>
        <w:t xml:space="preserve">.  As such the studies are of current interest to this readership.  All studies were included in which an inference was made by comparing an estimate to a threshold (this eliminated one study by Saunders and </w:t>
      </w:r>
      <w:proofErr w:type="spellStart"/>
      <w:r>
        <w:rPr>
          <w:rStyle w:val="cit-auth"/>
        </w:rPr>
        <w:t>Marcelletti</w:t>
      </w:r>
      <w:proofErr w:type="spellEnd"/>
      <w:r>
        <w:rPr>
          <w:rStyle w:val="cit-auth"/>
        </w:rPr>
        <w:t xml:space="preserve"> that was explicitly “descriptive”).  These studies included </w:t>
      </w:r>
      <w:r w:rsidR="008A2C4E">
        <w:rPr>
          <w:rStyle w:val="cit-auth"/>
        </w:rPr>
        <w:t xml:space="preserve">applications of </w:t>
      </w:r>
      <w:r>
        <w:rPr>
          <w:rStyle w:val="cit-auth"/>
        </w:rPr>
        <w:t xml:space="preserve">randomized experiments (e.g., </w:t>
      </w:r>
      <w:proofErr w:type="spellStart"/>
      <w:r>
        <w:rPr>
          <w:rStyle w:val="cit-auth"/>
        </w:rPr>
        <w:t>Grigg</w:t>
      </w:r>
      <w:proofErr w:type="spellEnd"/>
      <w:r>
        <w:rPr>
          <w:rStyle w:val="cit-auth"/>
        </w:rPr>
        <w:t xml:space="preserve"> et al), regression discontinuity (e.g., Mariano &amp; </w:t>
      </w:r>
      <w:proofErr w:type="spellStart"/>
      <w:r>
        <w:rPr>
          <w:rStyle w:val="cit-auth"/>
        </w:rPr>
        <w:t>Martorell</w:t>
      </w:r>
      <w:proofErr w:type="spellEnd"/>
      <w:r>
        <w:rPr>
          <w:rStyle w:val="cit-auth"/>
        </w:rPr>
        <w:t xml:space="preserve">), </w:t>
      </w:r>
      <w:proofErr w:type="spellStart"/>
      <w:r>
        <w:rPr>
          <w:rStyle w:val="cit-auth"/>
        </w:rPr>
        <w:t>meta analysis</w:t>
      </w:r>
      <w:proofErr w:type="spellEnd"/>
      <w:r>
        <w:rPr>
          <w:rStyle w:val="cit-auth"/>
        </w:rPr>
        <w:t xml:space="preserve"> (</w:t>
      </w:r>
      <w:proofErr w:type="spellStart"/>
      <w:r>
        <w:rPr>
          <w:rStyle w:val="cit-auth"/>
        </w:rPr>
        <w:t>Shager</w:t>
      </w:r>
      <w:proofErr w:type="spellEnd"/>
      <w:r>
        <w:rPr>
          <w:rStyle w:val="cit-auth"/>
        </w:rPr>
        <w:t xml:space="preserve"> et al.,), logistic regression (Stephan &amp; Rosenbaum), fixed effects (</w:t>
      </w:r>
      <w:proofErr w:type="spellStart"/>
      <w:r>
        <w:rPr>
          <w:rStyle w:val="cit-auth"/>
        </w:rPr>
        <w:t>Bozick</w:t>
      </w:r>
      <w:proofErr w:type="spellEnd"/>
      <w:r>
        <w:rPr>
          <w:rStyle w:val="cit-auth"/>
        </w:rPr>
        <w:t xml:space="preserve"> &amp; Dalton), propensity score models (e.g., An),  as well as the general linear model (e.g., Engel</w:t>
      </w:r>
      <w:r>
        <w:rPr>
          <w:rStyle w:val="cit-sep"/>
        </w:rPr>
        <w:t xml:space="preserve">, </w:t>
      </w:r>
      <w:proofErr w:type="spellStart"/>
      <w:r>
        <w:rPr>
          <w:rStyle w:val="cit-auth"/>
        </w:rPr>
        <w:t>Claessens</w:t>
      </w:r>
      <w:proofErr w:type="spellEnd"/>
      <w:r>
        <w:rPr>
          <w:rStyle w:val="cit-sep"/>
        </w:rPr>
        <w:t xml:space="preserve">, &amp; </w:t>
      </w:r>
      <w:r>
        <w:rPr>
          <w:rStyle w:val="cit-auth"/>
        </w:rPr>
        <w:t>Finch).</w:t>
      </w:r>
    </w:p>
    <w:p w:rsidR="00792F6B" w:rsidRDefault="00792F6B" w:rsidP="00792F6B">
      <w:pPr>
        <w:widowControl w:val="0"/>
        <w:spacing w:line="480" w:lineRule="auto"/>
        <w:ind w:firstLine="720"/>
        <w:rPr>
          <w:rStyle w:val="cit-auth"/>
        </w:rPr>
      </w:pPr>
      <w:r>
        <w:rPr>
          <w:rStyle w:val="cit-auth"/>
        </w:rPr>
        <w:t xml:space="preserve">We applied our analysis to focal inferences from each study, as indicated by a reference in the abstract of the study.  In each case, we followed the same procedures as in generating Tables 1 and 2.  We first calculated a correlation between the predictor of interest and outcome by converting a reported t-ratio (recognizing that the standard errors form only an approximate basis for certain types of models, such as logistic regression). We then calculated the threshold for statistical significance based on the reported degrees of freedom (each of the studies reported in Tables 3 and 4 either explicitly or implicitly used statistical significance as part of the threshold for inference, for example by only interpreting the policy relevance of those estimates that were statistically significant – see </w:t>
      </w:r>
      <w:proofErr w:type="spellStart"/>
      <w:r w:rsidRPr="0059459D">
        <w:rPr>
          <w:lang w:val="fr-FR"/>
        </w:rPr>
        <w:t>Wainer</w:t>
      </w:r>
      <w:proofErr w:type="spellEnd"/>
      <w:r>
        <w:rPr>
          <w:lang w:val="fr-FR"/>
        </w:rPr>
        <w:t xml:space="preserve"> &amp; </w:t>
      </w:r>
      <w:r w:rsidRPr="0059459D">
        <w:rPr>
          <w:lang w:val="fr-FR"/>
        </w:rPr>
        <w:t>Robinson</w:t>
      </w:r>
      <w:r>
        <w:rPr>
          <w:lang w:val="fr-FR"/>
        </w:rPr>
        <w:t xml:space="preserve">, </w:t>
      </w:r>
      <w:r w:rsidRPr="0059459D">
        <w:rPr>
          <w:lang w:val="fr-FR"/>
        </w:rPr>
        <w:t>2003</w:t>
      </w:r>
      <w:r>
        <w:rPr>
          <w:rStyle w:val="cit-auth"/>
        </w:rPr>
        <w:t>), and then calculated the % bias necessary to reduce the estimate below the threshold.</w:t>
      </w:r>
    </w:p>
    <w:p w:rsidR="00792F6B" w:rsidRDefault="00792F6B" w:rsidP="00792F6B">
      <w:pPr>
        <w:widowControl w:val="0"/>
        <w:spacing w:line="480" w:lineRule="auto"/>
        <w:ind w:firstLine="720"/>
        <w:rPr>
          <w:rStyle w:val="cit-auth"/>
        </w:rPr>
      </w:pPr>
      <w:r>
        <w:rPr>
          <w:rStyle w:val="cit-auth"/>
        </w:rPr>
        <w:t xml:space="preserve">We report the results for randomized experiments in Table B1.  The % bias necessary to </w:t>
      </w:r>
      <w:r>
        <w:rPr>
          <w:rStyle w:val="cit-auth"/>
        </w:rPr>
        <w:lastRenderedPageBreak/>
        <w:t xml:space="preserve">invalidate the inferences ranges from 7% to 33%.  While these inferences may appear moderately robust, much of the bias due to internal validity may have been removed by randomly assigning units to treatments.  We do note, however, that the robustness is partly a function of sample size (when statistical significance is used as a basis for inference), and the sample sizes are relatively small.  This is often the case in randomized experiments which are expensive especially for units of analysis that aggregate individuals (e.g., classrooms in </w:t>
      </w:r>
      <w:proofErr w:type="spellStart"/>
      <w:r>
        <w:rPr>
          <w:rStyle w:val="cit-auth"/>
        </w:rPr>
        <w:t>Grigg</w:t>
      </w:r>
      <w:proofErr w:type="spellEnd"/>
      <w:r>
        <w:rPr>
          <w:rStyle w:val="cit-auth"/>
        </w:rPr>
        <w:t xml:space="preserve"> et al.,   -- see </w:t>
      </w:r>
      <w:proofErr w:type="spellStart"/>
      <w:r>
        <w:rPr>
          <w:rStyle w:val="cit-auth"/>
        </w:rPr>
        <w:t>Slavin</w:t>
      </w:r>
      <w:proofErr w:type="spellEnd"/>
      <w:r>
        <w:rPr>
          <w:rStyle w:val="cit-auth"/>
        </w:rPr>
        <w:t xml:space="preserve">, 2008). </w:t>
      </w:r>
    </w:p>
    <w:p w:rsidR="00792F6B" w:rsidRDefault="00792F6B" w:rsidP="00792F6B">
      <w:pPr>
        <w:widowControl w:val="0"/>
        <w:autoSpaceDE w:val="0"/>
        <w:autoSpaceDN w:val="0"/>
        <w:adjustRightInd w:val="0"/>
        <w:ind w:firstLine="720"/>
        <w:rPr>
          <w:kern w:val="24"/>
        </w:rPr>
      </w:pPr>
    </w:p>
    <w:p w:rsidR="00792F6B" w:rsidRDefault="00792F6B" w:rsidP="00792F6B">
      <w:pPr>
        <w:widowControl w:val="0"/>
        <w:pBdr>
          <w:top w:val="single" w:sz="6" w:space="1" w:color="auto"/>
          <w:bottom w:val="single" w:sz="6" w:space="1" w:color="auto"/>
        </w:pBdr>
        <w:ind w:firstLine="720"/>
        <w:jc w:val="center"/>
        <w:rPr>
          <w:color w:val="000000"/>
        </w:rPr>
      </w:pPr>
      <w:r>
        <w:rPr>
          <w:color w:val="000000"/>
        </w:rPr>
        <w:t>Insert Table B1here</w:t>
      </w:r>
    </w:p>
    <w:p w:rsidR="00792F6B" w:rsidRDefault="00792F6B" w:rsidP="00792F6B">
      <w:pPr>
        <w:widowControl w:val="0"/>
        <w:spacing w:line="480" w:lineRule="auto"/>
        <w:ind w:firstLine="720"/>
      </w:pPr>
    </w:p>
    <w:p w:rsidR="00792F6B" w:rsidRDefault="00792F6B" w:rsidP="00792F6B">
      <w:pPr>
        <w:widowControl w:val="0"/>
        <w:spacing w:line="480" w:lineRule="auto"/>
        <w:ind w:firstLine="720"/>
        <w:rPr>
          <w:rStyle w:val="cit-auth"/>
        </w:rPr>
      </w:pPr>
      <w:r>
        <w:rPr>
          <w:rStyle w:val="cit-auth"/>
        </w:rPr>
        <w:t xml:space="preserve">We report the results for observational studies in Table B2.  The bias necessary to invalidate the inference ranges from 2% to 60%.  As in Table B1, the larger percentages are associated with the larger sample sizes, in this case from analysis of federal or city data bases. </w:t>
      </w:r>
      <w:proofErr w:type="gramStart"/>
      <w:r w:rsidR="00BA44D3">
        <w:rPr>
          <w:vertAlign w:val="superscript"/>
        </w:rPr>
        <w:t>xi</w:t>
      </w:r>
      <w:proofErr w:type="gramEnd"/>
      <w:r w:rsidR="00BA44D3">
        <w:rPr>
          <w:vertAlign w:val="superscript"/>
        </w:rPr>
        <w:t xml:space="preserve"> </w:t>
      </w:r>
      <w:r>
        <w:rPr>
          <w:rStyle w:val="cit-auth"/>
        </w:rPr>
        <w:t xml:space="preserve">Nonetheless, the implications of an inference for policy purposes should be based on effect sizes (e.g., Wilkinson et al., 1999) as well as the robustness of the inference.  For example, the correlation between summer instruction and language arts achievement is only .029 in Mariano’s study, although 60% of the estimate would have to be due to bias to invalidate the inference. The point goes both ways: studies with the largest effect sizes may not be most robust to concerns about sources of bias.  For example, the correlation between elements of study design and reported effect size in </w:t>
      </w:r>
      <w:proofErr w:type="spellStart"/>
      <w:r>
        <w:rPr>
          <w:rStyle w:val="cit-auth"/>
        </w:rPr>
        <w:t>Shager</w:t>
      </w:r>
      <w:proofErr w:type="spellEnd"/>
      <w:r>
        <w:rPr>
          <w:rStyle w:val="cit-auth"/>
        </w:rPr>
        <w:t xml:space="preserve"> is .524, but the inference of a relationship would be invalid if only 16% of the estimated effect were due to bias.</w:t>
      </w:r>
    </w:p>
    <w:p w:rsidR="00792F6B" w:rsidRDefault="00792F6B" w:rsidP="00792F6B">
      <w:pPr>
        <w:widowControl w:val="0"/>
        <w:autoSpaceDE w:val="0"/>
        <w:autoSpaceDN w:val="0"/>
        <w:adjustRightInd w:val="0"/>
        <w:ind w:firstLine="720"/>
        <w:rPr>
          <w:kern w:val="24"/>
        </w:rPr>
      </w:pPr>
    </w:p>
    <w:p w:rsidR="00792F6B" w:rsidRDefault="00792F6B" w:rsidP="00792F6B">
      <w:pPr>
        <w:widowControl w:val="0"/>
        <w:pBdr>
          <w:top w:val="single" w:sz="6" w:space="1" w:color="auto"/>
          <w:bottom w:val="single" w:sz="6" w:space="1" w:color="auto"/>
        </w:pBdr>
        <w:ind w:firstLine="720"/>
        <w:jc w:val="center"/>
        <w:rPr>
          <w:color w:val="000000"/>
        </w:rPr>
      </w:pPr>
      <w:r>
        <w:rPr>
          <w:color w:val="000000"/>
        </w:rPr>
        <w:t>Insert Table B2 here</w:t>
      </w:r>
    </w:p>
    <w:p w:rsidR="00792F6B" w:rsidRDefault="00792F6B" w:rsidP="00792F6B">
      <w:pPr>
        <w:widowControl w:val="0"/>
        <w:spacing w:line="480" w:lineRule="auto"/>
        <w:ind w:firstLine="720"/>
      </w:pPr>
    </w:p>
    <w:p w:rsidR="00792F6B" w:rsidRDefault="00792F6B" w:rsidP="00792F6B">
      <w:pPr>
        <w:spacing w:line="480" w:lineRule="auto"/>
        <w:ind w:firstLine="720"/>
      </w:pPr>
      <w:r>
        <w:rPr>
          <w:rStyle w:val="cit-auth"/>
        </w:rPr>
        <w:lastRenderedPageBreak/>
        <w:t xml:space="preserve">Finally, two of the inferences reported in Tables B1 and B2 were for the lack of an effect because the estimates fell below a threshold (Yuan et al.; </w:t>
      </w:r>
      <w:proofErr w:type="spellStart"/>
      <w:r>
        <w:rPr>
          <w:rStyle w:val="cit-auth"/>
        </w:rPr>
        <w:t>Bozick</w:t>
      </w:r>
      <w:proofErr w:type="spellEnd"/>
      <w:r>
        <w:rPr>
          <w:rStyle w:val="cit-auth"/>
        </w:rPr>
        <w:t xml:space="preserve"> &amp; Dalton). For these two inferences, </w:t>
      </w:r>
      <w:r w:rsidR="00122A1C">
        <w:rPr>
          <w:rStyle w:val="cit-auth"/>
        </w:rPr>
        <w:t xml:space="preserve">as in the main text </w:t>
      </w:r>
      <w:r>
        <w:rPr>
          <w:rStyle w:val="cit-auth"/>
        </w:rPr>
        <w:t>we report the coefficient by which the estimate would have to be multiplied to exceed the threshold for inference.  It is simply the ratio of the observed estimate to its threshold, although it can also be considered as 1</w:t>
      </w:r>
      <w:r>
        <w:rPr>
          <w:color w:val="000000"/>
        </w:rPr>
        <w:t>−</w:t>
      </w:r>
      <w:r>
        <w:rPr>
          <w:rStyle w:val="cit-auth"/>
        </w:rPr>
        <w:t>% bias necessary to invalidate the inference: (1</w:t>
      </w:r>
      <w:r>
        <w:rPr>
          <w:color w:val="000000"/>
        </w:rPr>
        <w:t>−1−δ</w:t>
      </w:r>
      <w:r w:rsidRPr="00AE0C05">
        <w:rPr>
          <w:color w:val="000000"/>
          <w:vertAlign w:val="superscript"/>
        </w:rPr>
        <w:t xml:space="preserve"># </w:t>
      </w:r>
      <w:r>
        <w:rPr>
          <w:color w:val="000000"/>
        </w:rPr>
        <w:t>/</w:t>
      </w:r>
      <w:r w:rsidRPr="008A0275">
        <w:rPr>
          <w:position w:val="-6"/>
          <w:sz w:val="20"/>
          <w:lang w:val="de-DE"/>
        </w:rPr>
        <w:object w:dxaOrig="180" w:dyaOrig="340">
          <v:shape id="_x0000_i1123" type="#_x0000_t75" style="width:9pt;height:17.25pt" o:ole="" fillcolor="window">
            <v:imagedata r:id="rId127" o:title=""/>
          </v:shape>
          <o:OLEObject Type="Embed" ProgID="Equation.DSMT4" ShapeID="_x0000_i1123" DrawAspect="Content" ObjectID="_1478976240" r:id="rId128"/>
        </w:object>
      </w:r>
      <w:r>
        <w:rPr>
          <w:rStyle w:val="cit-auth"/>
        </w:rPr>
        <w:t>=</w:t>
      </w:r>
      <w:r w:rsidRPr="00586DC1">
        <w:rPr>
          <w:color w:val="000000"/>
        </w:rPr>
        <w:t xml:space="preserve"> </w:t>
      </w:r>
      <w:r>
        <w:rPr>
          <w:color w:val="000000"/>
        </w:rPr>
        <w:t>δ</w:t>
      </w:r>
      <w:r w:rsidRPr="00AE0C05">
        <w:rPr>
          <w:color w:val="000000"/>
          <w:vertAlign w:val="superscript"/>
        </w:rPr>
        <w:t xml:space="preserve"># </w:t>
      </w:r>
      <w:r>
        <w:rPr>
          <w:color w:val="000000"/>
        </w:rPr>
        <w:t>/</w:t>
      </w:r>
      <w:r w:rsidRPr="008A0275">
        <w:rPr>
          <w:position w:val="-6"/>
          <w:sz w:val="20"/>
          <w:lang w:val="de-DE"/>
        </w:rPr>
        <w:object w:dxaOrig="180" w:dyaOrig="340">
          <v:shape id="_x0000_i1124" type="#_x0000_t75" style="width:9pt;height:17.25pt" o:ole="" fillcolor="window">
            <v:imagedata r:id="rId127" o:title=""/>
          </v:shape>
          <o:OLEObject Type="Embed" ProgID="Equation.DSMT4" ShapeID="_x0000_i1124" DrawAspect="Content" ObjectID="_1478976241" r:id="rId129"/>
        </w:object>
      </w:r>
      <w:r>
        <w:rPr>
          <w:rStyle w:val="cit-auth"/>
        </w:rPr>
        <w:t xml:space="preserve">). For the example of Yuan’s randomized experiment of incentive pay programs, the correlation between incentive pay and extra hours worked of .077 would have to be multiplied by a factor of 2.53 to be positive and statistically significant. Applying similar calculations to </w:t>
      </w:r>
      <w:proofErr w:type="spellStart"/>
      <w:r>
        <w:rPr>
          <w:rStyle w:val="cit-auth"/>
        </w:rPr>
        <w:t>Bozick</w:t>
      </w:r>
      <w:proofErr w:type="spellEnd"/>
      <w:r>
        <w:rPr>
          <w:rStyle w:val="cit-auth"/>
        </w:rPr>
        <w:t xml:space="preserve"> and Dalton’s inference that occupational courses taken do not affect math achievement, the correlation between </w:t>
      </w:r>
      <w:r>
        <w:t>occupational courses taken in high school and math achievement would have to be multiplied by a factor of 7.18 to become statistically significant.</w:t>
      </w:r>
    </w:p>
    <w:p w:rsidR="00792F6B" w:rsidRDefault="00792F6B" w:rsidP="00792F6B">
      <w:pPr>
        <w:spacing w:line="480" w:lineRule="auto"/>
        <w:ind w:firstLine="720"/>
      </w:pPr>
      <w:r>
        <w:t>The analyses reported in Tables B1 and B2 move toward a reference distribution of the robustness of inferences reported in this journal.  To fully generate such a distribution researchers will have to analyze inferences from hundreds of studies and gain a sense of how the robustness of inferences varies with the attributes of a study.  This is beyond the scope of our study, and ideally should be generated by a research community that reflects diverse interpretations of our framework.  Therefore, we hope others will follow the procedures outlined here to generate such distributions against which future researchers characterize may the robustness of new inferences.</w:t>
      </w:r>
      <w:r>
        <w:br w:type="page"/>
      </w:r>
    </w:p>
    <w:p w:rsidR="00AB71EF" w:rsidRDefault="00AB71EF" w:rsidP="00AB71EF">
      <w:pPr>
        <w:widowControl w:val="0"/>
        <w:spacing w:line="480" w:lineRule="auto"/>
        <w:jc w:val="center"/>
        <w:rPr>
          <w:b/>
          <w:color w:val="000000"/>
        </w:rPr>
      </w:pPr>
      <w:r w:rsidRPr="00A25984">
        <w:rPr>
          <w:b/>
          <w:color w:val="000000"/>
        </w:rPr>
        <w:lastRenderedPageBreak/>
        <w:t>References</w:t>
      </w:r>
    </w:p>
    <w:p w:rsidR="00E067B8" w:rsidRPr="00AF0A07" w:rsidRDefault="00E067B8" w:rsidP="00E067B8">
      <w:pPr>
        <w:widowControl w:val="0"/>
        <w:spacing w:after="200"/>
        <w:ind w:left="720" w:hanging="720"/>
      </w:pPr>
      <w:r w:rsidRPr="00AF0A07">
        <w:t xml:space="preserve">Abbott, A. (1998). </w:t>
      </w:r>
      <w:proofErr w:type="gramStart"/>
      <w:r w:rsidRPr="00AF0A07">
        <w:t xml:space="preserve">"The Causal Devolution" </w:t>
      </w:r>
      <w:r w:rsidRPr="00AF0A07">
        <w:rPr>
          <w:i/>
        </w:rPr>
        <w:t>Sociological Methods and Research</w:t>
      </w:r>
      <w:r w:rsidRPr="00AF0A07">
        <w:t xml:space="preserve"> 27:148-181.</w:t>
      </w:r>
      <w:proofErr w:type="gramEnd"/>
    </w:p>
    <w:p w:rsidR="00E067B8" w:rsidRPr="00AF0A07" w:rsidRDefault="00E067B8" w:rsidP="00E067B8">
      <w:pPr>
        <w:widowControl w:val="0"/>
        <w:spacing w:after="200"/>
        <w:ind w:left="720" w:hanging="720"/>
      </w:pPr>
      <w:r w:rsidRPr="00AF0A07">
        <w:t xml:space="preserve"> Alexander, K. L. (1998). </w:t>
      </w:r>
      <w:proofErr w:type="gramStart"/>
      <w:r w:rsidRPr="00AF0A07">
        <w:t>Response to Shepard, Smith and Marion.</w:t>
      </w:r>
      <w:proofErr w:type="gramEnd"/>
      <w:r w:rsidRPr="00AF0A07">
        <w:t xml:space="preserve"> </w:t>
      </w:r>
      <w:r w:rsidRPr="00AF0A07">
        <w:rPr>
          <w:i/>
          <w:lang w:val="de-DE"/>
        </w:rPr>
        <w:t xml:space="preserve">Psychology in </w:t>
      </w:r>
      <w:r w:rsidRPr="00AF0A07">
        <w:rPr>
          <w:lang w:val="de-DE"/>
        </w:rPr>
        <w:t xml:space="preserve">Schools, </w:t>
      </w:r>
      <w:r w:rsidRPr="00AF0A07">
        <w:rPr>
          <w:i/>
          <w:lang w:val="de-DE"/>
        </w:rPr>
        <w:t>9</w:t>
      </w:r>
      <w:r w:rsidRPr="00AF0A07">
        <w:rPr>
          <w:lang w:val="de-DE"/>
        </w:rPr>
        <w:t>, 410-417.</w:t>
      </w:r>
    </w:p>
    <w:p w:rsidR="00E067B8" w:rsidRPr="00AF0A07" w:rsidRDefault="00E067B8" w:rsidP="00E067B8">
      <w:pPr>
        <w:widowControl w:val="0"/>
        <w:spacing w:after="200"/>
        <w:ind w:left="720" w:hanging="720"/>
      </w:pPr>
      <w:r w:rsidRPr="00AF0A07">
        <w:t xml:space="preserve">Alexander, K., </w:t>
      </w:r>
      <w:proofErr w:type="spellStart"/>
      <w:r w:rsidRPr="00AF0A07">
        <w:t>Entwisle</w:t>
      </w:r>
      <w:proofErr w:type="spellEnd"/>
      <w:r w:rsidRPr="00AF0A07">
        <w:t>, D. R., and Dauber, S. L</w:t>
      </w:r>
      <w:proofErr w:type="gramStart"/>
      <w:r w:rsidRPr="00AF0A07">
        <w:t>.(</w:t>
      </w:r>
      <w:proofErr w:type="gramEnd"/>
      <w:r w:rsidRPr="00AF0A07">
        <w:t xml:space="preserve">2003). </w:t>
      </w:r>
      <w:r w:rsidRPr="00AF0A07">
        <w:rPr>
          <w:i/>
        </w:rPr>
        <w:t>On the success of failure: a reassessment of the effects of retention in the primary school grades</w:t>
      </w:r>
      <w:r w:rsidRPr="00AF0A07">
        <w:t xml:space="preserve">. Cambridge, UK: Cambridge University Press. </w:t>
      </w:r>
    </w:p>
    <w:p w:rsidR="00E067B8" w:rsidRPr="00AF0A07" w:rsidRDefault="00E067B8" w:rsidP="00E067B8">
      <w:pPr>
        <w:widowControl w:val="0"/>
        <w:spacing w:after="200"/>
        <w:ind w:left="720" w:hanging="720"/>
      </w:pPr>
      <w:proofErr w:type="gramStart"/>
      <w:r w:rsidRPr="00AF0A07">
        <w:t>Alexander, K. L., &amp; Pallas, A. M. (1983).</w:t>
      </w:r>
      <w:proofErr w:type="gramEnd"/>
      <w:r w:rsidRPr="00AF0A07">
        <w:t xml:space="preserve"> Private schools and public policy: New evidence on cognitive achievement in public and private schools. </w:t>
      </w:r>
      <w:r w:rsidRPr="00AF0A07">
        <w:rPr>
          <w:i/>
        </w:rPr>
        <w:t>Sociology of Education, 56,</w:t>
      </w:r>
      <w:r w:rsidRPr="00AF0A07">
        <w:t xml:space="preserve"> 170-182.</w:t>
      </w:r>
    </w:p>
    <w:p w:rsidR="00E067B8" w:rsidRPr="00AF0A07" w:rsidRDefault="00E067B8" w:rsidP="00E067B8">
      <w:pPr>
        <w:widowControl w:val="0"/>
        <w:spacing w:after="200"/>
        <w:ind w:left="720" w:hanging="720"/>
      </w:pPr>
      <w:proofErr w:type="gramStart"/>
      <w:r w:rsidRPr="00AF0A07">
        <w:t>Altonji, J.G., Elder, T., and Taber, C. (2005).</w:t>
      </w:r>
      <w:proofErr w:type="gramEnd"/>
      <w:r w:rsidRPr="00AF0A07">
        <w:t xml:space="preserve"> </w:t>
      </w:r>
      <w:proofErr w:type="gramStart"/>
      <w:r w:rsidRPr="00AF0A07">
        <w:t>An Evaluation of Instrumental Variable Strategies for Estimating the Effects of Catholic Schooling.</w:t>
      </w:r>
      <w:proofErr w:type="gramEnd"/>
      <w:r w:rsidRPr="00AF0A07">
        <w:t xml:space="preserve"> </w:t>
      </w:r>
      <w:r w:rsidRPr="00AF0A07">
        <w:rPr>
          <w:i/>
          <w:iCs/>
        </w:rPr>
        <w:t xml:space="preserve">Journal of Human Resources </w:t>
      </w:r>
      <w:r w:rsidRPr="00AF0A07">
        <w:t>40(4): 791-821.</w:t>
      </w:r>
    </w:p>
    <w:p w:rsidR="00E067B8" w:rsidRPr="00AF0A07" w:rsidRDefault="00E067B8" w:rsidP="00E067B8">
      <w:pPr>
        <w:widowControl w:val="0"/>
        <w:spacing w:after="200"/>
        <w:ind w:left="720" w:hanging="720"/>
      </w:pPr>
      <w:proofErr w:type="gramStart"/>
      <w:r w:rsidRPr="00AF0A07">
        <w:t>Altonji, J.G., Conley, T., Elder, T., and Christopher Taber.</w:t>
      </w:r>
      <w:proofErr w:type="gramEnd"/>
      <w:r w:rsidRPr="00AF0A07">
        <w:t xml:space="preserve"> (2010). ``Methods for Using Selection on Observed Variables to Address Selection on Unobserved Variables’’.  </w:t>
      </w:r>
      <w:proofErr w:type="gramStart"/>
      <w:r w:rsidRPr="00AF0A07">
        <w:t>Retrieved 11-20-12 from https://www.msu.edu/~telder/.</w:t>
      </w:r>
      <w:proofErr w:type="gramEnd"/>
    </w:p>
    <w:p w:rsidR="00E067B8" w:rsidRPr="00AF0A07" w:rsidRDefault="00E067B8" w:rsidP="00E067B8">
      <w:pPr>
        <w:widowControl w:val="0"/>
        <w:spacing w:after="200"/>
        <w:ind w:left="720" w:hanging="720"/>
      </w:pPr>
      <w:r w:rsidRPr="00AF0A07">
        <w:t xml:space="preserve">An, Brian P. (Forthcoming). The Impact of Dual Enrollment on College Degree Attainment: Do Low-SES Students Benefit? </w:t>
      </w:r>
      <w:r w:rsidRPr="00AF0A07">
        <w:rPr>
          <w:i/>
        </w:rPr>
        <w:t>Educational Evaluation and Policy Analysis</w:t>
      </w:r>
      <w:r w:rsidRPr="00AF0A07">
        <w:t>, Oct 2012; vol. 0: 0162373712461933.</w:t>
      </w:r>
    </w:p>
    <w:p w:rsidR="00E067B8" w:rsidRPr="00AF0A07" w:rsidRDefault="00E067B8" w:rsidP="00E067B8">
      <w:pPr>
        <w:widowControl w:val="0"/>
        <w:spacing w:after="200"/>
        <w:ind w:left="720" w:hanging="720"/>
        <w:rPr>
          <w:lang w:val="da-DK" w:eastAsia="zh-CN"/>
        </w:rPr>
      </w:pPr>
      <w:r w:rsidRPr="00AF0A07">
        <w:rPr>
          <w:lang w:eastAsia="zh-CN"/>
        </w:rPr>
        <w:t xml:space="preserve">Becker, H. H. (1967).  Whose side are we on? </w:t>
      </w:r>
      <w:r w:rsidRPr="00AF0A07">
        <w:rPr>
          <w:i/>
          <w:lang w:val="da-DK" w:eastAsia="zh-CN"/>
        </w:rPr>
        <w:t>Social Problems</w:t>
      </w:r>
      <w:r w:rsidRPr="00AF0A07">
        <w:rPr>
          <w:lang w:val="da-DK" w:eastAsia="zh-CN"/>
        </w:rPr>
        <w:t xml:space="preserve">, </w:t>
      </w:r>
      <w:r w:rsidRPr="00AF0A07">
        <w:rPr>
          <w:i/>
          <w:lang w:val="da-DK" w:eastAsia="zh-CN"/>
        </w:rPr>
        <w:t>14</w:t>
      </w:r>
      <w:r w:rsidRPr="00AF0A07">
        <w:rPr>
          <w:lang w:val="da-DK" w:eastAsia="zh-CN"/>
        </w:rPr>
        <w:t>, 239-247</w:t>
      </w:r>
    </w:p>
    <w:p w:rsidR="00E067B8" w:rsidRPr="00AF0A07" w:rsidRDefault="00E067B8" w:rsidP="00E067B8">
      <w:pPr>
        <w:widowControl w:val="0"/>
        <w:spacing w:after="200"/>
        <w:ind w:left="720" w:hanging="720"/>
        <w:rPr>
          <w:i/>
          <w:lang w:val="da-DK" w:eastAsia="zh-CN"/>
        </w:rPr>
      </w:pPr>
      <w:proofErr w:type="spellStart"/>
      <w:r w:rsidRPr="00AF0A07">
        <w:t>Behn</w:t>
      </w:r>
      <w:proofErr w:type="spellEnd"/>
      <w:r w:rsidRPr="00AF0A07">
        <w:t xml:space="preserve">, Robert D. &amp; James W. </w:t>
      </w:r>
      <w:proofErr w:type="spellStart"/>
      <w:r w:rsidRPr="00AF0A07">
        <w:t>Vaupel</w:t>
      </w:r>
      <w:proofErr w:type="spellEnd"/>
      <w:r w:rsidRPr="00AF0A07">
        <w:t xml:space="preserve">.  </w:t>
      </w:r>
      <w:proofErr w:type="gramStart"/>
      <w:r w:rsidRPr="00AF0A07">
        <w:t>(1982). Quick Analysis for Busy Decision Makers.</w:t>
      </w:r>
      <w:proofErr w:type="gramEnd"/>
      <w:r w:rsidRPr="00AF0A07">
        <w:t xml:space="preserve">  Basic Books, Inc. New York. </w:t>
      </w:r>
    </w:p>
    <w:p w:rsidR="00E067B8" w:rsidRPr="00AF0A07" w:rsidRDefault="00E067B8" w:rsidP="00E067B8">
      <w:pPr>
        <w:widowControl w:val="0"/>
        <w:autoSpaceDE w:val="0"/>
        <w:autoSpaceDN w:val="0"/>
        <w:adjustRightInd w:val="0"/>
        <w:spacing w:after="200"/>
        <w:ind w:left="720" w:hanging="720"/>
      </w:pPr>
      <w:r w:rsidRPr="00AF0A07">
        <w:rPr>
          <w:lang w:val="de-DE"/>
        </w:rPr>
        <w:t xml:space="preserve">Bogatz, G. A., &amp; Ball, S. (1972). </w:t>
      </w:r>
      <w:proofErr w:type="gramStart"/>
      <w:r w:rsidRPr="00AF0A07">
        <w:rPr>
          <w:i/>
        </w:rPr>
        <w:t xml:space="preserve">The </w:t>
      </w:r>
      <w:r w:rsidRPr="00AF0A07">
        <w:t>impact</w:t>
      </w:r>
      <w:r w:rsidRPr="00AF0A07">
        <w:rPr>
          <w:i/>
        </w:rPr>
        <w:t xml:space="preserve"> of “Sesame Street” on children’s first school experience</w:t>
      </w:r>
      <w:r w:rsidRPr="00AF0A07">
        <w:t>.</w:t>
      </w:r>
      <w:proofErr w:type="gramEnd"/>
      <w:r w:rsidRPr="00AF0A07">
        <w:t xml:space="preserve"> Princeton, NJ: Educational Testing Service.</w:t>
      </w:r>
    </w:p>
    <w:p w:rsidR="00E067B8" w:rsidRPr="00AF0A07" w:rsidRDefault="00E067B8" w:rsidP="00E067B8">
      <w:pPr>
        <w:spacing w:after="200"/>
        <w:ind w:left="720" w:hanging="720"/>
      </w:pPr>
      <w:proofErr w:type="gramStart"/>
      <w:r w:rsidRPr="00AF0A07">
        <w:t xml:space="preserve">Borman, G. D., Dowling, N. M., and </w:t>
      </w:r>
      <w:proofErr w:type="spellStart"/>
      <w:r w:rsidRPr="00AF0A07">
        <w:t>Schneck</w:t>
      </w:r>
      <w:proofErr w:type="spellEnd"/>
      <w:r w:rsidRPr="00AF0A07">
        <w:t>, C. (2008).</w:t>
      </w:r>
      <w:proofErr w:type="gramEnd"/>
      <w:r w:rsidRPr="00AF0A07">
        <w:t xml:space="preserve"> A multi-site cluster randomized field trial of Open Court Reading. </w:t>
      </w:r>
      <w:r w:rsidRPr="00AF0A07">
        <w:rPr>
          <w:i/>
        </w:rPr>
        <w:t>Educational Evaluation and Policy Analysis, 30</w:t>
      </w:r>
      <w:r w:rsidRPr="00AF0A07">
        <w:t>(4), 389-407.</w:t>
      </w:r>
    </w:p>
    <w:p w:rsidR="00E067B8" w:rsidRPr="00AF0A07" w:rsidRDefault="00E067B8" w:rsidP="00E067B8">
      <w:pPr>
        <w:widowControl w:val="0"/>
        <w:spacing w:after="200"/>
        <w:ind w:left="720" w:hanging="720"/>
      </w:pPr>
      <w:proofErr w:type="spellStart"/>
      <w:r w:rsidRPr="00AF0A07">
        <w:t>Bozick</w:t>
      </w:r>
      <w:proofErr w:type="spellEnd"/>
      <w:r w:rsidRPr="00AF0A07">
        <w:t xml:space="preserve">, Robert, Dalton, Benjamin. </w:t>
      </w:r>
      <w:proofErr w:type="gramStart"/>
      <w:r w:rsidRPr="00AF0A07">
        <w:t>(Forthcoming).</w:t>
      </w:r>
      <w:proofErr w:type="gramEnd"/>
      <w:r w:rsidRPr="00AF0A07">
        <w:t xml:space="preserve"> Balancing Career and Technical Education with Academic Coursework: The Consequences for Mathematics Achievement in High School. </w:t>
      </w:r>
      <w:r w:rsidRPr="00AF0A07">
        <w:rPr>
          <w:i/>
        </w:rPr>
        <w:t>Educational Evaluation and Policy Analysis</w:t>
      </w:r>
      <w:r w:rsidRPr="00AF0A07">
        <w:t>, Aug 2012; vol. 0: 0162373712453870.</w:t>
      </w:r>
    </w:p>
    <w:p w:rsidR="00E067B8" w:rsidRPr="00AF0A07" w:rsidRDefault="00E067B8" w:rsidP="00E067B8">
      <w:pPr>
        <w:widowControl w:val="0"/>
        <w:spacing w:after="200"/>
        <w:ind w:left="720" w:hanging="720"/>
      </w:pPr>
      <w:r w:rsidRPr="00AF0A07">
        <w:t xml:space="preserve">Brennan, R. L. (1995). The Conventional Wisdom about Group Mean Scores. </w:t>
      </w:r>
      <w:r w:rsidRPr="00AF0A07">
        <w:rPr>
          <w:i/>
        </w:rPr>
        <w:t>Journal of Educational Measurement</w:t>
      </w:r>
      <w:r w:rsidRPr="00AF0A07">
        <w:t xml:space="preserve">, </w:t>
      </w:r>
      <w:r w:rsidRPr="00AF0A07">
        <w:rPr>
          <w:i/>
        </w:rPr>
        <w:t>32</w:t>
      </w:r>
      <w:r w:rsidRPr="00AF0A07">
        <w:t>(4), 385-396.</w:t>
      </w:r>
    </w:p>
    <w:p w:rsidR="00E067B8" w:rsidRPr="00AF0A07" w:rsidRDefault="00E067B8" w:rsidP="00E067B8">
      <w:pPr>
        <w:widowControl w:val="0"/>
        <w:spacing w:after="200"/>
        <w:ind w:left="720" w:hanging="720"/>
      </w:pPr>
      <w:proofErr w:type="spellStart"/>
      <w:r w:rsidRPr="00AF0A07">
        <w:rPr>
          <w:lang w:eastAsia="zh-CN"/>
        </w:rPr>
        <w:t>Bulterman-Bos</w:t>
      </w:r>
      <w:proofErr w:type="spellEnd"/>
      <w:r w:rsidRPr="00AF0A07">
        <w:rPr>
          <w:lang w:eastAsia="zh-CN"/>
        </w:rPr>
        <w:t xml:space="preserve">, J. A. (2008). Will a clinical approach make education research more relevant for practice? </w:t>
      </w:r>
      <w:r w:rsidRPr="00AF0A07">
        <w:rPr>
          <w:i/>
          <w:iCs/>
          <w:lang w:eastAsia="zh-CN"/>
        </w:rPr>
        <w:t>Educational Researcher, 37</w:t>
      </w:r>
      <w:r w:rsidRPr="00AF0A07">
        <w:rPr>
          <w:lang w:eastAsia="zh-CN"/>
        </w:rPr>
        <w:t>(7), 412–420.</w:t>
      </w:r>
    </w:p>
    <w:p w:rsidR="00207253" w:rsidRDefault="00E067B8" w:rsidP="00207253">
      <w:pPr>
        <w:widowControl w:val="0"/>
        <w:spacing w:after="200"/>
        <w:ind w:left="720" w:hanging="720"/>
      </w:pPr>
      <w:proofErr w:type="spellStart"/>
      <w:r w:rsidRPr="00AF0A07">
        <w:lastRenderedPageBreak/>
        <w:t>Burkam</w:t>
      </w:r>
      <w:proofErr w:type="spellEnd"/>
      <w:r w:rsidRPr="00AF0A07">
        <w:t xml:space="preserve">, D. T., </w:t>
      </w:r>
      <w:proofErr w:type="spellStart"/>
      <w:r w:rsidRPr="00AF0A07">
        <w:t>LoGerfo</w:t>
      </w:r>
      <w:proofErr w:type="spellEnd"/>
      <w:r w:rsidRPr="00AF0A07">
        <w:t xml:space="preserve">, L., Ready, D., and Lee, V. E. (2007). </w:t>
      </w:r>
      <w:proofErr w:type="gramStart"/>
      <w:r w:rsidRPr="00AF0A07">
        <w:t>The differential effects of repeating kindergarten.</w:t>
      </w:r>
      <w:proofErr w:type="gramEnd"/>
      <w:r w:rsidRPr="00AF0A07">
        <w:t xml:space="preserve"> </w:t>
      </w:r>
      <w:r w:rsidRPr="00AF0A07">
        <w:rPr>
          <w:i/>
        </w:rPr>
        <w:t>Journal of Education for Students Placed at Risk, 12</w:t>
      </w:r>
      <w:r w:rsidRPr="00AF0A07">
        <w:t>(2), 103-136.</w:t>
      </w:r>
    </w:p>
    <w:p w:rsidR="00207253" w:rsidRDefault="00207253" w:rsidP="00207253">
      <w:pPr>
        <w:widowControl w:val="0"/>
        <w:spacing w:after="200"/>
        <w:ind w:left="720" w:hanging="720"/>
        <w:rPr>
          <w:rStyle w:val="reference-text"/>
        </w:rPr>
      </w:pPr>
      <w:r>
        <w:rPr>
          <w:rFonts w:eastAsia="+mn-ea" w:cs="Arial"/>
        </w:rPr>
        <w:t xml:space="preserve">Campbell, D.T. </w:t>
      </w:r>
      <w:r w:rsidR="00AC1AFE">
        <w:rPr>
          <w:rFonts w:eastAsia="+mn-ea" w:cs="Arial"/>
        </w:rPr>
        <w:t>(</w:t>
      </w:r>
      <w:r>
        <w:rPr>
          <w:rFonts w:eastAsia="+mn-ea" w:cs="Arial"/>
        </w:rPr>
        <w:t>1976</w:t>
      </w:r>
      <w:r w:rsidR="00AC1AFE">
        <w:rPr>
          <w:rFonts w:eastAsia="+mn-ea" w:cs="Arial"/>
        </w:rPr>
        <w:t>)</w:t>
      </w:r>
      <w:r>
        <w:rPr>
          <w:rFonts w:eastAsia="+mn-ea" w:cs="Arial"/>
        </w:rPr>
        <w:t xml:space="preserve">. </w:t>
      </w:r>
      <w:proofErr w:type="gramStart"/>
      <w:r w:rsidRPr="00207253">
        <w:rPr>
          <w:rStyle w:val="reference-text"/>
        </w:rPr>
        <w:t>Assessing the Impact of Planned Social Change</w:t>
      </w:r>
      <w:r>
        <w:rPr>
          <w:rStyle w:val="reference-text"/>
        </w:rPr>
        <w:t>.</w:t>
      </w:r>
      <w:proofErr w:type="gramEnd"/>
      <w:r>
        <w:rPr>
          <w:rStyle w:val="reference-text"/>
        </w:rPr>
        <w:t xml:space="preserve"> </w:t>
      </w:r>
      <w:proofErr w:type="gramStart"/>
      <w:r>
        <w:rPr>
          <w:rStyle w:val="reference-text"/>
        </w:rPr>
        <w:t>The Public Affairs Center, Dartmouth College, Hanover New Hampshire, USA.</w:t>
      </w:r>
      <w:proofErr w:type="gramEnd"/>
      <w:r>
        <w:rPr>
          <w:rStyle w:val="reference-text"/>
        </w:rPr>
        <w:t xml:space="preserve"> December, 1976.  Retrieved from </w:t>
      </w:r>
      <w:r w:rsidRPr="00207253">
        <w:rPr>
          <w:rStyle w:val="reference-text"/>
        </w:rPr>
        <w:t>https://www.globalhivmeinfo.org/CapacityBuilding/Occasional%20Papers/08%20Assessing%20the%20Impact%20of%20Planned%20Social%20Change.pdf</w:t>
      </w:r>
    </w:p>
    <w:p w:rsidR="00E067B8" w:rsidRPr="00AF0A07" w:rsidRDefault="00E067B8" w:rsidP="00E067B8">
      <w:pPr>
        <w:widowControl w:val="0"/>
        <w:spacing w:after="200"/>
        <w:ind w:left="720" w:hanging="720"/>
      </w:pPr>
      <w:proofErr w:type="gramStart"/>
      <w:r w:rsidRPr="00AF0A07">
        <w:rPr>
          <w:rStyle w:val="cit-auth"/>
        </w:rPr>
        <w:t>Carlson</w:t>
      </w:r>
      <w:r w:rsidRPr="00AF0A07">
        <w:rPr>
          <w:rStyle w:val="cit-sep"/>
        </w:rPr>
        <w:t xml:space="preserve">, </w:t>
      </w:r>
      <w:r w:rsidRPr="00AF0A07">
        <w:rPr>
          <w:rStyle w:val="cit-auth"/>
        </w:rPr>
        <w:t>D., Cowen</w:t>
      </w:r>
      <w:r w:rsidRPr="00AF0A07">
        <w:rPr>
          <w:rStyle w:val="cit-sep"/>
        </w:rPr>
        <w:t xml:space="preserve">, J.M., and </w:t>
      </w:r>
      <w:r w:rsidRPr="00AF0A07">
        <w:rPr>
          <w:rStyle w:val="cit-auth"/>
        </w:rPr>
        <w:t>Fleming, D.J. (Forthcoming).</w:t>
      </w:r>
      <w:proofErr w:type="gramEnd"/>
      <w:r w:rsidRPr="00AF0A07">
        <w:rPr>
          <w:rStyle w:val="cit-auth"/>
        </w:rPr>
        <w:t xml:space="preserve"> </w:t>
      </w:r>
      <w:r w:rsidRPr="00AF0A07">
        <w:rPr>
          <w:rStyle w:val="cit-title"/>
        </w:rPr>
        <w:t>Life After Vouchers</w:t>
      </w:r>
      <w:r w:rsidRPr="00AF0A07">
        <w:rPr>
          <w:rStyle w:val="cit-sep"/>
        </w:rPr>
        <w:t xml:space="preserve">: </w:t>
      </w:r>
      <w:r w:rsidRPr="00AF0A07">
        <w:rPr>
          <w:rStyle w:val="cit-subtitle"/>
        </w:rPr>
        <w:t xml:space="preserve">What Happens to Students Who Leave Private Schools for the Traditional Public Sector? </w:t>
      </w:r>
      <w:r w:rsidRPr="00AF0A07">
        <w:rPr>
          <w:rStyle w:val="site-title"/>
          <w:i/>
          <w:iCs/>
        </w:rPr>
        <w:t xml:space="preserve">Educational Evaluation and Policy Analysis </w:t>
      </w:r>
      <w:r w:rsidRPr="00AF0A07">
        <w:rPr>
          <w:rStyle w:val="cit-elocation"/>
          <w:i/>
          <w:iCs/>
        </w:rPr>
        <w:t>0162373712461852</w:t>
      </w:r>
      <w:r w:rsidRPr="00AF0A07">
        <w:rPr>
          <w:rStyle w:val="cit-sep"/>
          <w:i/>
          <w:iCs/>
        </w:rPr>
        <w:t xml:space="preserve">, first published on </w:t>
      </w:r>
      <w:r w:rsidRPr="00AF0A07">
        <w:rPr>
          <w:rStyle w:val="cit-ahead-of-print-date"/>
          <w:i/>
          <w:iCs/>
        </w:rPr>
        <w:t xml:space="preserve">November 15, 2012 </w:t>
      </w:r>
      <w:r w:rsidRPr="00AF0A07">
        <w:rPr>
          <w:rStyle w:val="cit-sep"/>
          <w:i/>
          <w:iCs/>
        </w:rPr>
        <w:t>as doi</w:t>
      </w:r>
      <w:proofErr w:type="gramStart"/>
      <w:r w:rsidRPr="00AF0A07">
        <w:rPr>
          <w:rStyle w:val="cit-sep"/>
          <w:i/>
          <w:iCs/>
        </w:rPr>
        <w:t>:</w:t>
      </w:r>
      <w:r w:rsidRPr="00AF0A07">
        <w:rPr>
          <w:rStyle w:val="cit-doi"/>
          <w:i/>
          <w:iCs/>
        </w:rPr>
        <w:t>10.3102</w:t>
      </w:r>
      <w:proofErr w:type="gramEnd"/>
      <w:r w:rsidRPr="00AF0A07">
        <w:rPr>
          <w:rStyle w:val="cit-doi"/>
          <w:i/>
          <w:iCs/>
        </w:rPr>
        <w:t xml:space="preserve">/0162373712461852 </w:t>
      </w:r>
    </w:p>
    <w:p w:rsidR="00E067B8" w:rsidRPr="00AF0A07" w:rsidRDefault="00E067B8" w:rsidP="00E067B8">
      <w:pPr>
        <w:pStyle w:val="BodyTextIndent"/>
        <w:spacing w:line="240" w:lineRule="auto"/>
        <w:ind w:left="720" w:hanging="720"/>
        <w:rPr>
          <w:color w:val="000000"/>
        </w:rPr>
      </w:pPr>
      <w:r w:rsidRPr="00AF0A07">
        <w:rPr>
          <w:color w:val="000000"/>
        </w:rPr>
        <w:t xml:space="preserve">Chubb, John E.  </w:t>
      </w:r>
      <w:proofErr w:type="gramStart"/>
      <w:r w:rsidRPr="00AF0A07">
        <w:rPr>
          <w:color w:val="000000"/>
        </w:rPr>
        <w:t>and</w:t>
      </w:r>
      <w:proofErr w:type="gramEnd"/>
      <w:r w:rsidRPr="00AF0A07">
        <w:rPr>
          <w:color w:val="000000"/>
        </w:rPr>
        <w:t xml:space="preserve"> Terry M. Moe, "Politics, Markets, and America's Schools" (Washington D.C.: The Brookings Institution, 1990).</w:t>
      </w:r>
    </w:p>
    <w:p w:rsidR="00E067B8" w:rsidRPr="00AF0A07" w:rsidRDefault="00E067B8" w:rsidP="00E067B8">
      <w:pPr>
        <w:widowControl w:val="0"/>
        <w:spacing w:after="200"/>
        <w:ind w:left="720" w:hanging="720"/>
      </w:pPr>
      <w:proofErr w:type="gramStart"/>
      <w:r w:rsidRPr="00AF0A07">
        <w:rPr>
          <w:rStyle w:val="Strong"/>
          <w:b w:val="0"/>
        </w:rPr>
        <w:t xml:space="preserve">Clements, D. H. and </w:t>
      </w:r>
      <w:proofErr w:type="spellStart"/>
      <w:r w:rsidRPr="00AF0A07">
        <w:rPr>
          <w:rStyle w:val="Strong"/>
          <w:b w:val="0"/>
        </w:rPr>
        <w:t>Sarama</w:t>
      </w:r>
      <w:proofErr w:type="spellEnd"/>
      <w:r w:rsidRPr="00AF0A07">
        <w:rPr>
          <w:rStyle w:val="Strong"/>
          <w:b w:val="0"/>
        </w:rPr>
        <w:t xml:space="preserve"> J. (2008).</w:t>
      </w:r>
      <w:proofErr w:type="gramEnd"/>
      <w:r w:rsidRPr="00AF0A07">
        <w:rPr>
          <w:rStyle w:val="Strong"/>
          <w:b w:val="0"/>
        </w:rPr>
        <w:t xml:space="preserve"> </w:t>
      </w:r>
      <w:proofErr w:type="gramStart"/>
      <w:r w:rsidRPr="00AF0A07">
        <w:t>Experimental Evaluation of the Effects of a Research-Based Preschool Mathematics Curriculum.</w:t>
      </w:r>
      <w:proofErr w:type="gramEnd"/>
      <w:r w:rsidRPr="00AF0A07">
        <w:t xml:space="preserve"> </w:t>
      </w:r>
      <w:r w:rsidRPr="00AF0A07">
        <w:rPr>
          <w:i/>
        </w:rPr>
        <w:t>American Educational Research Journal</w:t>
      </w:r>
      <w:r w:rsidRPr="00AF0A07">
        <w:t xml:space="preserve">, </w:t>
      </w:r>
      <w:r w:rsidRPr="00AF0A07">
        <w:rPr>
          <w:i/>
        </w:rPr>
        <w:t>45</w:t>
      </w:r>
      <w:r w:rsidRPr="00AF0A07">
        <w:t>(2), 443-494.</w:t>
      </w:r>
    </w:p>
    <w:p w:rsidR="00E067B8" w:rsidRPr="00AF0A07" w:rsidRDefault="00523E1E" w:rsidP="00E067B8">
      <w:pPr>
        <w:pStyle w:val="BodyTextIndent"/>
        <w:spacing w:after="200" w:line="240" w:lineRule="auto"/>
        <w:ind w:left="720" w:hanging="720"/>
      </w:pPr>
      <w:r w:rsidRPr="00AF0A07">
        <w:rPr>
          <w:lang w:val="en-CA"/>
        </w:rPr>
        <w:fldChar w:fldCharType="begin"/>
      </w:r>
      <w:r w:rsidR="00E067B8" w:rsidRPr="00AF0A07">
        <w:instrText xml:space="preserve"> SEQ CHAPTER \h \r 1</w:instrText>
      </w:r>
      <w:r w:rsidRPr="00AF0A07">
        <w:rPr>
          <w:lang w:val="en-CA"/>
        </w:rPr>
        <w:fldChar w:fldCharType="end"/>
      </w:r>
      <w:proofErr w:type="gramStart"/>
      <w:r w:rsidR="00E067B8" w:rsidRPr="00AF0A07">
        <w:t>Coleman, J. S., Hoffer, T., &amp; Kilgore, S. (1982).</w:t>
      </w:r>
      <w:proofErr w:type="gramEnd"/>
      <w:r w:rsidR="00E067B8" w:rsidRPr="00AF0A07">
        <w:t xml:space="preserve"> </w:t>
      </w:r>
      <w:r w:rsidR="00E067B8" w:rsidRPr="00AF0A07">
        <w:rPr>
          <w:i/>
        </w:rPr>
        <w:t>High School Achievement:  Public, Catholic, and Private Schools Compared</w:t>
      </w:r>
      <w:r w:rsidR="00E067B8" w:rsidRPr="00AF0A07">
        <w:t>. New York: Basic Books.</w:t>
      </w:r>
    </w:p>
    <w:p w:rsidR="00E067B8" w:rsidRPr="00AF0A07" w:rsidRDefault="00E067B8" w:rsidP="00E067B8">
      <w:pPr>
        <w:widowControl w:val="0"/>
        <w:spacing w:after="200"/>
        <w:ind w:left="720" w:hanging="720"/>
      </w:pPr>
      <w:proofErr w:type="gramStart"/>
      <w:r w:rsidRPr="00AF0A07">
        <w:t>Cook, T. D., and Campbell, D. T. (1979).</w:t>
      </w:r>
      <w:proofErr w:type="gramEnd"/>
      <w:r w:rsidRPr="00AF0A07">
        <w:t xml:space="preserve"> </w:t>
      </w:r>
      <w:r w:rsidRPr="00AF0A07">
        <w:rPr>
          <w:i/>
        </w:rPr>
        <w:t>Quasi-experimentation: Design and analysis issues for field settings</w:t>
      </w:r>
      <w:r w:rsidRPr="00AF0A07">
        <w:t xml:space="preserve">. Chicago: Rand McNally. </w:t>
      </w:r>
    </w:p>
    <w:p w:rsidR="00E067B8" w:rsidRPr="00AF0A07" w:rsidRDefault="00E067B8" w:rsidP="00E067B8">
      <w:pPr>
        <w:widowControl w:val="0"/>
        <w:spacing w:after="200"/>
        <w:ind w:left="720" w:hanging="720"/>
      </w:pPr>
      <w:r w:rsidRPr="00AF0A07">
        <w:t xml:space="preserve">Cook, T. D. (2002). Randomized experiments in educational policy research: A critical examination of the reasons the educational evaluation community has offered for not doing them. </w:t>
      </w:r>
      <w:r w:rsidRPr="00AF0A07">
        <w:rPr>
          <w:i/>
        </w:rPr>
        <w:t>Educational Evaluation and Policy Analysis, 24</w:t>
      </w:r>
      <w:r w:rsidRPr="00AF0A07">
        <w:t>, 175-199.</w:t>
      </w:r>
    </w:p>
    <w:p w:rsidR="00E067B8" w:rsidRPr="00AF0A07" w:rsidRDefault="00E067B8" w:rsidP="00E067B8">
      <w:pPr>
        <w:widowControl w:val="0"/>
        <w:spacing w:after="200"/>
        <w:ind w:left="720" w:hanging="720"/>
      </w:pPr>
      <w:r w:rsidRPr="00AF0A07">
        <w:t xml:space="preserve">Cook, T. D. (2003). Why have educational evaluators chosen not to do randomized experiments? </w:t>
      </w:r>
      <w:r w:rsidRPr="00AF0A07">
        <w:rPr>
          <w:i/>
        </w:rPr>
        <w:t>Annals of American Academy of Political and Social Science</w:t>
      </w:r>
      <w:r w:rsidRPr="00AF0A07">
        <w:t xml:space="preserve">, </w:t>
      </w:r>
      <w:proofErr w:type="spellStart"/>
      <w:r w:rsidRPr="00AF0A07">
        <w:t>Vol</w:t>
      </w:r>
      <w:proofErr w:type="spellEnd"/>
      <w:r w:rsidRPr="00AF0A07">
        <w:t xml:space="preserve"> 589: 114-149.</w:t>
      </w:r>
    </w:p>
    <w:p w:rsidR="00E067B8" w:rsidRPr="00AF0A07" w:rsidRDefault="00E067B8" w:rsidP="00E067B8">
      <w:pPr>
        <w:spacing w:after="200"/>
        <w:ind w:left="720" w:hanging="720"/>
      </w:pPr>
      <w:proofErr w:type="spellStart"/>
      <w:proofErr w:type="gramStart"/>
      <w:r w:rsidRPr="00AF0A07">
        <w:t>Copas</w:t>
      </w:r>
      <w:proofErr w:type="spellEnd"/>
      <w:r w:rsidRPr="00AF0A07">
        <w:t>, J. B. and Li, H. G. (1997).</w:t>
      </w:r>
      <w:proofErr w:type="gramEnd"/>
      <w:r w:rsidRPr="00AF0A07">
        <w:t xml:space="preserve"> </w:t>
      </w:r>
      <w:proofErr w:type="gramStart"/>
      <w:r w:rsidRPr="00AF0A07">
        <w:t>Inference for Non-Random Samples.</w:t>
      </w:r>
      <w:proofErr w:type="gramEnd"/>
      <w:r w:rsidRPr="00AF0A07">
        <w:t xml:space="preserve">  </w:t>
      </w:r>
      <w:r w:rsidRPr="00AF0A07">
        <w:rPr>
          <w:i/>
        </w:rPr>
        <w:t>Journal of the Royal Statistical Society, Series B (Methodological)</w:t>
      </w:r>
      <w:r w:rsidRPr="00AF0A07">
        <w:t xml:space="preserve">, </w:t>
      </w:r>
      <w:r w:rsidRPr="00AF0A07">
        <w:rPr>
          <w:i/>
        </w:rPr>
        <w:t>59</w:t>
      </w:r>
      <w:r w:rsidRPr="00AF0A07">
        <w:t>(1), 55-95.</w:t>
      </w:r>
    </w:p>
    <w:p w:rsidR="00E067B8" w:rsidRPr="00AF0A07" w:rsidRDefault="00523E1E" w:rsidP="00E067B8">
      <w:pPr>
        <w:widowControl w:val="0"/>
        <w:autoSpaceDE w:val="0"/>
        <w:autoSpaceDN w:val="0"/>
        <w:adjustRightInd w:val="0"/>
        <w:spacing w:after="200"/>
        <w:ind w:left="720" w:hanging="720"/>
      </w:pPr>
      <w:r w:rsidRPr="00AF0A07">
        <w:rPr>
          <w:lang w:val="en-CA"/>
        </w:rPr>
        <w:fldChar w:fldCharType="begin"/>
      </w:r>
      <w:r w:rsidR="00E067B8" w:rsidRPr="00AF0A07">
        <w:rPr>
          <w:lang w:val="en-CA"/>
        </w:rPr>
        <w:instrText xml:space="preserve"> SEQ CHAPTER \h \r 1</w:instrText>
      </w:r>
      <w:r w:rsidRPr="00AF0A07">
        <w:rPr>
          <w:lang w:val="en-CA"/>
        </w:rPr>
        <w:fldChar w:fldCharType="end"/>
      </w:r>
      <w:r w:rsidR="00E067B8" w:rsidRPr="00AF0A07">
        <w:t xml:space="preserve">Cronbach, L. J. (1982). </w:t>
      </w:r>
      <w:proofErr w:type="gramStart"/>
      <w:r w:rsidR="00E067B8" w:rsidRPr="00AF0A07">
        <w:rPr>
          <w:i/>
        </w:rPr>
        <w:t>Designing evaluations of educational and social programs.</w:t>
      </w:r>
      <w:proofErr w:type="gramEnd"/>
      <w:r w:rsidR="00E067B8" w:rsidRPr="00AF0A07">
        <w:t xml:space="preserve"> San Francisco: </w:t>
      </w:r>
      <w:proofErr w:type="spellStart"/>
      <w:r w:rsidR="00E067B8" w:rsidRPr="00AF0A07">
        <w:t>Jossey</w:t>
      </w:r>
      <w:proofErr w:type="spellEnd"/>
      <w:r w:rsidR="00E067B8" w:rsidRPr="00AF0A07">
        <w:t>-Bass.</w:t>
      </w:r>
    </w:p>
    <w:p w:rsidR="00E067B8" w:rsidRPr="00AF0A07" w:rsidRDefault="00E067B8" w:rsidP="00E067B8">
      <w:pPr>
        <w:widowControl w:val="0"/>
        <w:autoSpaceDE w:val="0"/>
        <w:autoSpaceDN w:val="0"/>
        <w:adjustRightInd w:val="0"/>
        <w:spacing w:after="200"/>
        <w:ind w:left="720" w:hanging="720"/>
      </w:pPr>
      <w:proofErr w:type="gramStart"/>
      <w:r w:rsidRPr="00AF0A07">
        <w:t>ECLS-K user guide.</w:t>
      </w:r>
      <w:proofErr w:type="gramEnd"/>
      <w:r w:rsidRPr="00AF0A07">
        <w:t xml:space="preserve">  Available at </w:t>
      </w:r>
      <w:hyperlink r:id="rId130" w:history="1">
        <w:r w:rsidRPr="00AF0A07">
          <w:rPr>
            <w:rStyle w:val="Hyperlink"/>
          </w:rPr>
          <w:t>http://nces.ed.gov/pubsearch/pubsinfo.asp?pubid=2002149</w:t>
        </w:r>
      </w:hyperlink>
    </w:p>
    <w:p w:rsidR="00E067B8" w:rsidRPr="00AF0A07" w:rsidRDefault="00E067B8" w:rsidP="00E067B8">
      <w:pPr>
        <w:widowControl w:val="0"/>
        <w:spacing w:after="200"/>
        <w:ind w:left="720" w:hanging="720"/>
      </w:pPr>
      <w:proofErr w:type="gramStart"/>
      <w:r w:rsidRPr="00AF0A07">
        <w:t>Eisenhart ,</w:t>
      </w:r>
      <w:proofErr w:type="gramEnd"/>
      <w:r w:rsidRPr="00AF0A07">
        <w:t xml:space="preserve"> M., and Towne, L. (2008). </w:t>
      </w:r>
      <w:r w:rsidRPr="00AF0A07">
        <w:rPr>
          <w:rStyle w:val="Strong"/>
          <w:b w:val="0"/>
        </w:rPr>
        <w:t>Contestation and change in national policy on "scientifically based" education research.</w:t>
      </w:r>
      <w:r w:rsidRPr="00AF0A07">
        <w:t xml:space="preserve"> </w:t>
      </w:r>
      <w:r w:rsidRPr="00AF0A07">
        <w:rPr>
          <w:i/>
        </w:rPr>
        <w:t>Educational Researcher</w:t>
      </w:r>
      <w:r w:rsidRPr="00AF0A07">
        <w:t xml:space="preserve">, </w:t>
      </w:r>
      <w:r w:rsidRPr="00AF0A07">
        <w:rPr>
          <w:i/>
        </w:rPr>
        <w:t>32</w:t>
      </w:r>
      <w:r w:rsidRPr="00AF0A07">
        <w:t>, 31-38.</w:t>
      </w:r>
    </w:p>
    <w:p w:rsidR="00E067B8" w:rsidRPr="00AF0A07" w:rsidRDefault="00E067B8" w:rsidP="00E067B8">
      <w:pPr>
        <w:widowControl w:val="0"/>
        <w:spacing w:after="200"/>
        <w:ind w:left="720" w:hanging="720"/>
      </w:pPr>
      <w:r w:rsidRPr="00AF0A07">
        <w:t xml:space="preserve">Engel, Mimi, </w:t>
      </w:r>
      <w:proofErr w:type="spellStart"/>
      <w:r w:rsidRPr="00AF0A07">
        <w:t>Claessens</w:t>
      </w:r>
      <w:proofErr w:type="spellEnd"/>
      <w:r w:rsidRPr="00AF0A07">
        <w:t>, Amy, Finch, Maida A. (Forthcoming). Teaching Students What They Already Know? The (</w:t>
      </w:r>
      <w:proofErr w:type="spellStart"/>
      <w:r w:rsidRPr="00AF0A07">
        <w:t>Mis</w:t>
      </w:r>
      <w:proofErr w:type="spellEnd"/>
      <w:proofErr w:type="gramStart"/>
      <w:r w:rsidRPr="00AF0A07">
        <w:t>)Alignment</w:t>
      </w:r>
      <w:proofErr w:type="gramEnd"/>
      <w:r w:rsidRPr="00AF0A07">
        <w:t xml:space="preserve"> Between Mathematics Instructional Content and Student Knowledge in Kindergarten. Educational Evaluation and Policy Analysis, Nov 2012; vol. 0: 0162373712461850.</w:t>
      </w:r>
    </w:p>
    <w:p w:rsidR="00E067B8" w:rsidRPr="00AF0A07" w:rsidRDefault="00E067B8" w:rsidP="00E067B8">
      <w:pPr>
        <w:widowControl w:val="0"/>
        <w:spacing w:after="200"/>
        <w:ind w:left="720" w:hanging="720"/>
      </w:pPr>
      <w:proofErr w:type="gramStart"/>
      <w:r w:rsidRPr="00AF0A07">
        <w:t>Federal Register.</w:t>
      </w:r>
      <w:proofErr w:type="gramEnd"/>
      <w:r w:rsidRPr="00AF0A07">
        <w:t xml:space="preserve">  </w:t>
      </w:r>
      <w:proofErr w:type="gramStart"/>
      <w:r w:rsidRPr="00AF0A07">
        <w:t>(1998). Federal Register, 1998.</w:t>
      </w:r>
      <w:proofErr w:type="gramEnd"/>
      <w:r w:rsidRPr="00AF0A07">
        <w:t xml:space="preserve"> </w:t>
      </w:r>
      <w:proofErr w:type="gramStart"/>
      <w:r w:rsidRPr="00AF0A07">
        <w:rPr>
          <w:i/>
        </w:rPr>
        <w:t>63</w:t>
      </w:r>
      <w:r w:rsidRPr="00AF0A07">
        <w:t>(179).</w:t>
      </w:r>
      <w:proofErr w:type="gramEnd"/>
      <w:r w:rsidRPr="00AF0A07">
        <w:t xml:space="preserve">  Retrieved from </w:t>
      </w:r>
      <w:r w:rsidRPr="00AF0A07">
        <w:lastRenderedPageBreak/>
        <w:t>http://www.fda.gov/downloads/RegulatoryInformation/Guidances/UCM129505.pdf</w:t>
      </w:r>
    </w:p>
    <w:p w:rsidR="00E067B8" w:rsidRPr="00AF0A07" w:rsidRDefault="00E067B8" w:rsidP="00E067B8">
      <w:pPr>
        <w:widowControl w:val="0"/>
        <w:spacing w:after="200"/>
        <w:ind w:left="720" w:hanging="720"/>
      </w:pPr>
      <w:proofErr w:type="gramStart"/>
      <w:r w:rsidRPr="00AF0A07">
        <w:t>Finn, J. D., and Achilles, C. M. (1990).</w:t>
      </w:r>
      <w:proofErr w:type="gramEnd"/>
      <w:r w:rsidRPr="00AF0A07">
        <w:t xml:space="preserve"> Answers and questions about class size: A statewide experiment. </w:t>
      </w:r>
      <w:r w:rsidRPr="00AF0A07">
        <w:rPr>
          <w:i/>
        </w:rPr>
        <w:t>American Educational Research Journal, 27</w:t>
      </w:r>
      <w:r w:rsidRPr="00AF0A07">
        <w:t>, 557-577.</w:t>
      </w:r>
    </w:p>
    <w:p w:rsidR="00E067B8" w:rsidRPr="00AF0A07" w:rsidRDefault="00E067B8" w:rsidP="00E067B8">
      <w:pPr>
        <w:widowControl w:val="0"/>
        <w:spacing w:after="200"/>
        <w:ind w:left="720" w:hanging="720"/>
      </w:pPr>
      <w:r w:rsidRPr="00AF0A07">
        <w:t xml:space="preserve">Fisher, Ronald Aylmer, </w:t>
      </w:r>
      <w:proofErr w:type="gramStart"/>
      <w:r w:rsidRPr="00AF0A07">
        <w:t>Sir</w:t>
      </w:r>
      <w:r w:rsidRPr="00AF0A07">
        <w:rPr>
          <w:rStyle w:val="briefcittitle"/>
        </w:rPr>
        <w:t xml:space="preserve"> .</w:t>
      </w:r>
      <w:proofErr w:type="gramEnd"/>
      <w:r w:rsidRPr="00AF0A07">
        <w:rPr>
          <w:rStyle w:val="briefcittitle"/>
        </w:rPr>
        <w:t xml:space="preserve"> </w:t>
      </w:r>
      <w:proofErr w:type="gramStart"/>
      <w:r w:rsidRPr="00AF0A07">
        <w:rPr>
          <w:rStyle w:val="briefcittitle"/>
        </w:rPr>
        <w:t>(1970 [1930]).</w:t>
      </w:r>
      <w:proofErr w:type="gramEnd"/>
      <w:r w:rsidRPr="008A34D9">
        <w:rPr>
          <w:rStyle w:val="briefcittitle"/>
          <w:color w:val="000000" w:themeColor="text1"/>
        </w:rPr>
        <w:t xml:space="preserve"> </w:t>
      </w:r>
      <w:hyperlink r:id="rId131" w:history="1">
        <w:proofErr w:type="gramStart"/>
        <w:r w:rsidRPr="008A34D9">
          <w:rPr>
            <w:rStyle w:val="Hyperlink"/>
            <w:color w:val="000000" w:themeColor="text1"/>
            <w:u w:val="none"/>
          </w:rPr>
          <w:t>Statistical methods for research workers.</w:t>
        </w:r>
        <w:proofErr w:type="gramEnd"/>
      </w:hyperlink>
      <w:r w:rsidRPr="00AF0A07">
        <w:t xml:space="preserve"> Darien, Conn., </w:t>
      </w:r>
      <w:proofErr w:type="spellStart"/>
      <w:r w:rsidRPr="00AF0A07">
        <w:t>Hafner</w:t>
      </w:r>
      <w:proofErr w:type="spellEnd"/>
      <w:r w:rsidRPr="00AF0A07">
        <w:t xml:space="preserve"> Pub. Co</w:t>
      </w:r>
    </w:p>
    <w:p w:rsidR="00E067B8" w:rsidRPr="00AF0A07" w:rsidRDefault="00E067B8" w:rsidP="00E067B8">
      <w:pPr>
        <w:pStyle w:val="BodyTextIndent"/>
        <w:keepNext w:val="0"/>
        <w:spacing w:after="200" w:line="240" w:lineRule="auto"/>
        <w:ind w:left="720" w:hanging="720"/>
        <w:rPr>
          <w:rFonts w:eastAsia="???"/>
          <w:kern w:val="2"/>
        </w:rPr>
      </w:pPr>
      <w:r w:rsidRPr="00AF0A07">
        <w:rPr>
          <w:bCs/>
        </w:rPr>
        <w:t>Frank</w:t>
      </w:r>
      <w:r w:rsidRPr="00AF0A07">
        <w:t xml:space="preserve">, K. A. (2000). </w:t>
      </w:r>
      <w:proofErr w:type="gramStart"/>
      <w:r w:rsidRPr="00AF0A07">
        <w:t>Impact of a Confounding Variable on the Inference of a Regression Coefficient.</w:t>
      </w:r>
      <w:proofErr w:type="gramEnd"/>
      <w:r w:rsidRPr="00AF0A07">
        <w:t xml:space="preserve">  </w:t>
      </w:r>
      <w:r w:rsidRPr="00AF0A07">
        <w:rPr>
          <w:i/>
          <w:iCs/>
        </w:rPr>
        <w:t>Sociological Methods and Research</w:t>
      </w:r>
      <w:r w:rsidRPr="00AF0A07">
        <w:t>, 29(2), 147-194.</w:t>
      </w:r>
    </w:p>
    <w:p w:rsidR="00E067B8" w:rsidRPr="00AF0A07" w:rsidRDefault="00E067B8" w:rsidP="00E067B8">
      <w:pPr>
        <w:widowControl w:val="0"/>
        <w:spacing w:after="200"/>
        <w:ind w:left="720" w:hanging="720"/>
      </w:pPr>
      <w:r w:rsidRPr="00AF0A07">
        <w:rPr>
          <w:lang w:val="da-DK"/>
        </w:rPr>
        <w:t xml:space="preserve">Frank, K. A., and Min, K. (2007). </w:t>
      </w:r>
      <w:proofErr w:type="gramStart"/>
      <w:r w:rsidRPr="00AF0A07">
        <w:t>Indices of robustness for sample representation.</w:t>
      </w:r>
      <w:proofErr w:type="gramEnd"/>
      <w:r w:rsidRPr="00AF0A07">
        <w:t xml:space="preserve"> </w:t>
      </w:r>
      <w:r w:rsidRPr="00AF0A07">
        <w:rPr>
          <w:i/>
        </w:rPr>
        <w:t>Sociological Methodology, 37</w:t>
      </w:r>
      <w:r w:rsidRPr="00AF0A07">
        <w:t>, 349-392. * Co first authors.</w:t>
      </w:r>
    </w:p>
    <w:p w:rsidR="00E067B8" w:rsidRPr="008A34D9" w:rsidRDefault="00E067B8" w:rsidP="00E067B8">
      <w:pPr>
        <w:pStyle w:val="Heading1"/>
        <w:widowControl w:val="0"/>
        <w:tabs>
          <w:tab w:val="left" w:pos="1620"/>
        </w:tabs>
        <w:adjustRightInd w:val="0"/>
        <w:spacing w:after="200"/>
        <w:ind w:left="720" w:hanging="720"/>
        <w:jc w:val="left"/>
        <w:rPr>
          <w:rFonts w:ascii="Times New Roman" w:hAnsi="Times New Roman"/>
          <w:b w:val="0"/>
          <w:color w:val="000000" w:themeColor="text1"/>
          <w:sz w:val="24"/>
          <w:szCs w:val="24"/>
        </w:rPr>
      </w:pPr>
      <w:r w:rsidRPr="008A34D9">
        <w:rPr>
          <w:rFonts w:ascii="Times New Roman" w:hAnsi="Times New Roman"/>
          <w:b w:val="0"/>
          <w:color w:val="000000" w:themeColor="text1"/>
          <w:sz w:val="24"/>
          <w:szCs w:val="24"/>
        </w:rPr>
        <w:t xml:space="preserve">Frank, K.A., Gary Sykes, Dorothea Anagnostopoulos, Marisa </w:t>
      </w:r>
      <w:proofErr w:type="spellStart"/>
      <w:r w:rsidRPr="008A34D9">
        <w:rPr>
          <w:rStyle w:val="spelle"/>
          <w:rFonts w:ascii="Times New Roman" w:hAnsi="Times New Roman"/>
          <w:b w:val="0"/>
          <w:color w:val="000000" w:themeColor="text1"/>
          <w:sz w:val="24"/>
          <w:szCs w:val="24"/>
        </w:rPr>
        <w:t>Cannata</w:t>
      </w:r>
      <w:proofErr w:type="spellEnd"/>
      <w:r w:rsidRPr="008A34D9">
        <w:rPr>
          <w:rFonts w:ascii="Times New Roman" w:hAnsi="Times New Roman"/>
          <w:b w:val="0"/>
          <w:color w:val="000000" w:themeColor="text1"/>
          <w:sz w:val="24"/>
          <w:szCs w:val="24"/>
        </w:rPr>
        <w:t xml:space="preserve">, Linda Chard, Ann Krause, Raven </w:t>
      </w:r>
      <w:r w:rsidRPr="008A34D9">
        <w:rPr>
          <w:rStyle w:val="spelle"/>
          <w:rFonts w:ascii="Times New Roman" w:hAnsi="Times New Roman"/>
          <w:b w:val="0"/>
          <w:color w:val="000000" w:themeColor="text1"/>
          <w:sz w:val="24"/>
          <w:szCs w:val="24"/>
        </w:rPr>
        <w:t>McCrory</w:t>
      </w:r>
      <w:r w:rsidRPr="008A34D9">
        <w:rPr>
          <w:rFonts w:ascii="Times New Roman" w:hAnsi="Times New Roman"/>
          <w:b w:val="0"/>
          <w:color w:val="000000" w:themeColor="text1"/>
          <w:sz w:val="24"/>
          <w:szCs w:val="24"/>
        </w:rPr>
        <w:t xml:space="preserve">. 2008. Extended Influence: National Board Certified Teachers as Help Providers.  </w:t>
      </w:r>
      <w:proofErr w:type="gramStart"/>
      <w:r w:rsidRPr="008A34D9">
        <w:rPr>
          <w:rFonts w:ascii="Times New Roman" w:hAnsi="Times New Roman"/>
          <w:b w:val="0"/>
          <w:color w:val="000000" w:themeColor="text1"/>
          <w:sz w:val="24"/>
          <w:szCs w:val="24"/>
        </w:rPr>
        <w:t>Education, Evaluation, and Policy Analysis.</w:t>
      </w:r>
      <w:proofErr w:type="gramEnd"/>
      <w:r w:rsidRPr="008A34D9">
        <w:rPr>
          <w:rFonts w:ascii="Times New Roman" w:hAnsi="Times New Roman"/>
          <w:b w:val="0"/>
          <w:color w:val="000000" w:themeColor="text1"/>
          <w:sz w:val="24"/>
          <w:szCs w:val="24"/>
        </w:rPr>
        <w:t xml:space="preserve">  </w:t>
      </w:r>
      <w:proofErr w:type="spellStart"/>
      <w:r w:rsidRPr="008A34D9">
        <w:rPr>
          <w:rStyle w:val="spelle"/>
          <w:rFonts w:ascii="Times New Roman" w:hAnsi="Times New Roman"/>
          <w:b w:val="0"/>
          <w:color w:val="000000" w:themeColor="text1"/>
          <w:sz w:val="24"/>
          <w:szCs w:val="24"/>
        </w:rPr>
        <w:t>Vol</w:t>
      </w:r>
      <w:proofErr w:type="spellEnd"/>
      <w:r w:rsidRPr="008A34D9">
        <w:rPr>
          <w:rFonts w:ascii="Times New Roman" w:hAnsi="Times New Roman"/>
          <w:b w:val="0"/>
          <w:color w:val="000000" w:themeColor="text1"/>
          <w:sz w:val="24"/>
          <w:szCs w:val="24"/>
        </w:rPr>
        <w:t xml:space="preserve"> 30(1): 3-30.</w:t>
      </w:r>
    </w:p>
    <w:p w:rsidR="00E067B8" w:rsidRPr="00AF0A07" w:rsidRDefault="00E067B8" w:rsidP="00E067B8">
      <w:pPr>
        <w:pStyle w:val="Heading1"/>
        <w:widowControl w:val="0"/>
        <w:tabs>
          <w:tab w:val="left" w:pos="1620"/>
        </w:tabs>
        <w:adjustRightInd w:val="0"/>
        <w:spacing w:after="200"/>
        <w:ind w:left="720" w:hanging="720"/>
        <w:jc w:val="left"/>
        <w:rPr>
          <w:rFonts w:ascii="Times New Roman" w:hAnsi="Times New Roman"/>
          <w:b w:val="0"/>
          <w:sz w:val="24"/>
          <w:szCs w:val="24"/>
        </w:rPr>
      </w:pPr>
      <w:proofErr w:type="spellStart"/>
      <w:proofErr w:type="gramStart"/>
      <w:r w:rsidRPr="00AF0A07">
        <w:rPr>
          <w:rFonts w:ascii="Times New Roman" w:hAnsi="Times New Roman"/>
          <w:b w:val="0"/>
          <w:bCs w:val="0"/>
          <w:color w:val="000000"/>
          <w:sz w:val="24"/>
          <w:szCs w:val="24"/>
        </w:rPr>
        <w:t>Gastwirth</w:t>
      </w:r>
      <w:proofErr w:type="spellEnd"/>
      <w:r w:rsidRPr="00AF0A07">
        <w:rPr>
          <w:rFonts w:ascii="Times New Roman" w:hAnsi="Times New Roman"/>
          <w:b w:val="0"/>
          <w:color w:val="000000"/>
          <w:sz w:val="24"/>
          <w:szCs w:val="24"/>
        </w:rPr>
        <w:t xml:space="preserve">, J. L., </w:t>
      </w:r>
      <w:r w:rsidRPr="00AF0A07">
        <w:rPr>
          <w:rFonts w:ascii="Times New Roman" w:hAnsi="Times New Roman"/>
          <w:b w:val="0"/>
          <w:bCs w:val="0"/>
          <w:color w:val="000000"/>
          <w:sz w:val="24"/>
          <w:szCs w:val="24"/>
        </w:rPr>
        <w:t>Krieger</w:t>
      </w:r>
      <w:r w:rsidRPr="00AF0A07">
        <w:rPr>
          <w:rFonts w:ascii="Times New Roman" w:hAnsi="Times New Roman"/>
          <w:b w:val="0"/>
          <w:color w:val="000000"/>
          <w:sz w:val="24"/>
          <w:szCs w:val="24"/>
        </w:rPr>
        <w:t xml:space="preserve">, A. M. &amp; </w:t>
      </w:r>
      <w:r w:rsidRPr="00AF0A07">
        <w:rPr>
          <w:rFonts w:ascii="Times New Roman" w:hAnsi="Times New Roman"/>
          <w:b w:val="0"/>
          <w:bCs w:val="0"/>
          <w:color w:val="000000"/>
          <w:sz w:val="24"/>
          <w:szCs w:val="24"/>
        </w:rPr>
        <w:t>Rosenbaum</w:t>
      </w:r>
      <w:r w:rsidRPr="00AF0A07">
        <w:rPr>
          <w:rFonts w:ascii="Times New Roman" w:hAnsi="Times New Roman"/>
          <w:b w:val="0"/>
          <w:color w:val="000000"/>
          <w:sz w:val="24"/>
          <w:szCs w:val="24"/>
        </w:rPr>
        <w:t>, P. R. (</w:t>
      </w:r>
      <w:r w:rsidRPr="00AF0A07">
        <w:rPr>
          <w:rFonts w:ascii="Times New Roman" w:hAnsi="Times New Roman"/>
          <w:b w:val="0"/>
          <w:bCs w:val="0"/>
          <w:color w:val="000000"/>
          <w:sz w:val="24"/>
          <w:szCs w:val="24"/>
        </w:rPr>
        <w:t>1998</w:t>
      </w:r>
      <w:r w:rsidRPr="00AF0A07">
        <w:rPr>
          <w:rFonts w:ascii="Times New Roman" w:hAnsi="Times New Roman"/>
          <w:b w:val="0"/>
          <w:color w:val="000000"/>
          <w:sz w:val="24"/>
          <w:szCs w:val="24"/>
        </w:rPr>
        <w:t>), Dual and Simultaneous Sensitivity Analysis for Matched Pairs.</w:t>
      </w:r>
      <w:proofErr w:type="gramEnd"/>
      <w:r w:rsidRPr="00AF0A07">
        <w:rPr>
          <w:rFonts w:ascii="Times New Roman" w:hAnsi="Times New Roman"/>
          <w:b w:val="0"/>
          <w:color w:val="000000"/>
          <w:sz w:val="24"/>
          <w:szCs w:val="24"/>
        </w:rPr>
        <w:t xml:space="preserve"> </w:t>
      </w:r>
      <w:proofErr w:type="spellStart"/>
      <w:r w:rsidRPr="00AF0A07">
        <w:rPr>
          <w:rFonts w:ascii="Times New Roman" w:hAnsi="Times New Roman"/>
          <w:b w:val="0"/>
          <w:i/>
          <w:color w:val="000000"/>
          <w:sz w:val="24"/>
          <w:szCs w:val="24"/>
        </w:rPr>
        <w:t>Biometrika</w:t>
      </w:r>
      <w:proofErr w:type="spellEnd"/>
      <w:r w:rsidRPr="00AF0A07">
        <w:rPr>
          <w:rFonts w:ascii="Times New Roman" w:hAnsi="Times New Roman"/>
          <w:b w:val="0"/>
          <w:color w:val="000000"/>
          <w:sz w:val="24"/>
          <w:szCs w:val="24"/>
        </w:rPr>
        <w:t>, 85, 907-920.</w:t>
      </w:r>
    </w:p>
    <w:p w:rsidR="00E067B8" w:rsidRPr="00AF0A07" w:rsidRDefault="00E067B8" w:rsidP="00E067B8">
      <w:pPr>
        <w:autoSpaceDE w:val="0"/>
        <w:autoSpaceDN w:val="0"/>
        <w:adjustRightInd w:val="0"/>
        <w:spacing w:after="200"/>
        <w:ind w:left="720" w:hanging="720"/>
      </w:pPr>
      <w:r w:rsidRPr="00AF0A07">
        <w:t xml:space="preserve">Greco, J. (2009). </w:t>
      </w:r>
      <w:proofErr w:type="gramStart"/>
      <w:r w:rsidRPr="00AF0A07">
        <w:t>‘The Value Problem’.</w:t>
      </w:r>
      <w:proofErr w:type="gramEnd"/>
      <w:r w:rsidRPr="00AF0A07">
        <w:t xml:space="preserve"> </w:t>
      </w:r>
      <w:proofErr w:type="gramStart"/>
      <w:r w:rsidRPr="00AF0A07">
        <w:t xml:space="preserve">In Haddock, A., Millar, A., and Pritchard, D. H. (Eds.), </w:t>
      </w:r>
      <w:r w:rsidRPr="00AF0A07">
        <w:rPr>
          <w:i/>
        </w:rPr>
        <w:t>Epistemic Value</w:t>
      </w:r>
      <w:r w:rsidRPr="00AF0A07">
        <w:t>.</w:t>
      </w:r>
      <w:proofErr w:type="gramEnd"/>
      <w:r w:rsidRPr="00AF0A07">
        <w:t xml:space="preserve"> Oxford: Oxford University Press.</w:t>
      </w:r>
    </w:p>
    <w:p w:rsidR="00E067B8" w:rsidRPr="00AF0A07" w:rsidRDefault="00E067B8" w:rsidP="00E067B8">
      <w:pPr>
        <w:autoSpaceDE w:val="0"/>
        <w:autoSpaceDN w:val="0"/>
        <w:adjustRightInd w:val="0"/>
        <w:spacing w:after="200"/>
        <w:ind w:left="720" w:hanging="720"/>
      </w:pPr>
      <w:proofErr w:type="spellStart"/>
      <w:r w:rsidRPr="00AF0A07">
        <w:t>Grigg</w:t>
      </w:r>
      <w:proofErr w:type="spellEnd"/>
      <w:r w:rsidRPr="00AF0A07">
        <w:t xml:space="preserve">, Jeffrey, Kelly, </w:t>
      </w:r>
      <w:proofErr w:type="spellStart"/>
      <w:r w:rsidRPr="00AF0A07">
        <w:t>Kimberle</w:t>
      </w:r>
      <w:proofErr w:type="spellEnd"/>
      <w:r w:rsidRPr="00AF0A07">
        <w:t xml:space="preserve"> A., Gamoran, Adam, Borman, Geoffrey D. (Forthcoming). </w:t>
      </w:r>
      <w:proofErr w:type="gramStart"/>
      <w:r w:rsidRPr="00AF0A07">
        <w:t>Effects of Two Scientific Inquiry Professional Development Interventions on Teaching Practice.</w:t>
      </w:r>
      <w:proofErr w:type="gramEnd"/>
      <w:r w:rsidRPr="00AF0A07">
        <w:t xml:space="preserve"> </w:t>
      </w:r>
      <w:r w:rsidRPr="00AF0A07">
        <w:rPr>
          <w:i/>
        </w:rPr>
        <w:t>Educational Evaluation and Policy Analysis</w:t>
      </w:r>
      <w:r w:rsidRPr="00AF0A07">
        <w:t>, Oct 2012; vol. 0: 0162373712461851.</w:t>
      </w:r>
    </w:p>
    <w:p w:rsidR="00E067B8" w:rsidRPr="00AF0A07" w:rsidRDefault="00E067B8" w:rsidP="00E067B8">
      <w:pPr>
        <w:widowControl w:val="0"/>
        <w:spacing w:after="200"/>
        <w:ind w:left="720" w:hanging="720"/>
      </w:pPr>
      <w:proofErr w:type="spellStart"/>
      <w:r w:rsidRPr="00AF0A07">
        <w:t>Habermas</w:t>
      </w:r>
      <w:proofErr w:type="spellEnd"/>
      <w:r w:rsidRPr="00AF0A07">
        <w:t xml:space="preserve">, J. (1987). </w:t>
      </w:r>
      <w:proofErr w:type="gramStart"/>
      <w:r w:rsidRPr="00AF0A07">
        <w:rPr>
          <w:i/>
        </w:rPr>
        <w:t>Knowledge and Human Interests</w:t>
      </w:r>
      <w:r w:rsidRPr="00AF0A07">
        <w:t>.</w:t>
      </w:r>
      <w:proofErr w:type="gramEnd"/>
      <w:r w:rsidRPr="00AF0A07">
        <w:t xml:space="preserve"> Cambridge, United Kingdom: Polity Press.</w:t>
      </w:r>
    </w:p>
    <w:p w:rsidR="00E067B8" w:rsidRPr="00AF0A07" w:rsidRDefault="00E067B8" w:rsidP="00E067B8">
      <w:pPr>
        <w:widowControl w:val="0"/>
        <w:spacing w:after="200"/>
        <w:ind w:left="720" w:hanging="720"/>
      </w:pPr>
      <w:r w:rsidRPr="00AF0A07">
        <w:t xml:space="preserve">Harding, David J. (2003). "Counterfactual Models of Neighborhood Effects: The Effect of Neighborhood Poverty on Dropping </w:t>
      </w:r>
      <w:proofErr w:type="gramStart"/>
      <w:r w:rsidRPr="00AF0A07">
        <w:t>Out</w:t>
      </w:r>
      <w:proofErr w:type="gramEnd"/>
      <w:r w:rsidRPr="00AF0A07">
        <w:t xml:space="preserve"> and Teenage Pregnancy." </w:t>
      </w:r>
      <w:r w:rsidRPr="00AF0A07">
        <w:rPr>
          <w:i/>
          <w:iCs/>
        </w:rPr>
        <w:t>American Journal of Sociology</w:t>
      </w:r>
      <w:r w:rsidRPr="00AF0A07">
        <w:t xml:space="preserve"> 109(3): 676-719.</w:t>
      </w:r>
    </w:p>
    <w:p w:rsidR="00E067B8" w:rsidRPr="00AF0A07" w:rsidRDefault="00E067B8" w:rsidP="00E067B8">
      <w:pPr>
        <w:widowControl w:val="0"/>
        <w:autoSpaceDE w:val="0"/>
        <w:autoSpaceDN w:val="0"/>
        <w:adjustRightInd w:val="0"/>
        <w:spacing w:after="200"/>
        <w:ind w:left="720" w:hanging="720"/>
      </w:pPr>
      <w:proofErr w:type="gramStart"/>
      <w:r w:rsidRPr="00AF0A07">
        <w:t>Harvard Education Letter (1986).</w:t>
      </w:r>
      <w:proofErr w:type="gramEnd"/>
      <w:r w:rsidRPr="00AF0A07">
        <w:t xml:space="preserve"> Repeating a Grade: </w:t>
      </w:r>
      <w:proofErr w:type="spellStart"/>
      <w:r w:rsidRPr="00AF0A07">
        <w:t>Dopes</w:t>
      </w:r>
      <w:proofErr w:type="spellEnd"/>
      <w:r w:rsidRPr="00AF0A07">
        <w:t xml:space="preserve"> it help? </w:t>
      </w:r>
      <w:r w:rsidRPr="00AF0A07">
        <w:rPr>
          <w:i/>
        </w:rPr>
        <w:t>Harvard Education Letter</w:t>
      </w:r>
      <w:r w:rsidRPr="00AF0A07">
        <w:t xml:space="preserve">, </w:t>
      </w:r>
      <w:r w:rsidRPr="00AF0A07">
        <w:rPr>
          <w:i/>
        </w:rPr>
        <w:t>2</w:t>
      </w:r>
      <w:r w:rsidRPr="00AF0A07">
        <w:t>, 1-4.</w:t>
      </w:r>
    </w:p>
    <w:p w:rsidR="00E067B8" w:rsidRPr="00AF0A07" w:rsidRDefault="00E067B8" w:rsidP="00E067B8">
      <w:pPr>
        <w:autoSpaceDE w:val="0"/>
        <w:autoSpaceDN w:val="0"/>
        <w:adjustRightInd w:val="0"/>
        <w:spacing w:after="200"/>
        <w:ind w:left="720" w:hanging="720"/>
        <w:rPr>
          <w:color w:val="000000"/>
        </w:rPr>
      </w:pPr>
      <w:r w:rsidRPr="00AF0A07">
        <w:rPr>
          <w:color w:val="000000"/>
        </w:rPr>
        <w:t xml:space="preserve">Heckman, J. (1979). Sample Selection Bias as a Specification Error. </w:t>
      </w:r>
      <w:proofErr w:type="spellStart"/>
      <w:r w:rsidRPr="00AF0A07">
        <w:rPr>
          <w:i/>
          <w:color w:val="000000"/>
        </w:rPr>
        <w:t>Econometrica</w:t>
      </w:r>
      <w:proofErr w:type="spellEnd"/>
      <w:r w:rsidRPr="00AF0A07">
        <w:rPr>
          <w:color w:val="000000"/>
        </w:rPr>
        <w:t xml:space="preserve">, </w:t>
      </w:r>
      <w:r w:rsidRPr="00AF0A07">
        <w:rPr>
          <w:i/>
          <w:color w:val="000000"/>
        </w:rPr>
        <w:t>47</w:t>
      </w:r>
      <w:r w:rsidRPr="00AF0A07">
        <w:rPr>
          <w:color w:val="000000"/>
        </w:rPr>
        <w:t>(1), 153-161.</w:t>
      </w:r>
    </w:p>
    <w:p w:rsidR="00E067B8" w:rsidRPr="00AF0A07" w:rsidRDefault="00E067B8" w:rsidP="00E067B8">
      <w:pPr>
        <w:widowControl w:val="0"/>
        <w:spacing w:after="200"/>
        <w:ind w:left="720" w:hanging="720"/>
      </w:pPr>
      <w:r w:rsidRPr="00AF0A07">
        <w:t xml:space="preserve">Heckman, J. (2005). </w:t>
      </w:r>
      <w:proofErr w:type="gramStart"/>
      <w:r w:rsidRPr="00AF0A07">
        <w:t>The scientific model of causality.</w:t>
      </w:r>
      <w:proofErr w:type="gramEnd"/>
      <w:r w:rsidRPr="00AF0A07">
        <w:t xml:space="preserve"> </w:t>
      </w:r>
      <w:r w:rsidRPr="00AF0A07">
        <w:rPr>
          <w:i/>
        </w:rPr>
        <w:t>Sociological Methodology</w:t>
      </w:r>
      <w:r w:rsidRPr="00AF0A07">
        <w:t xml:space="preserve">, </w:t>
      </w:r>
      <w:r w:rsidRPr="00AF0A07">
        <w:rPr>
          <w:i/>
        </w:rPr>
        <w:t>35</w:t>
      </w:r>
      <w:r w:rsidRPr="00AF0A07">
        <w:t>, 1-99.</w:t>
      </w:r>
    </w:p>
    <w:p w:rsidR="00E067B8" w:rsidRPr="00AF0A07" w:rsidRDefault="00E067B8" w:rsidP="00E067B8">
      <w:pPr>
        <w:widowControl w:val="0"/>
        <w:spacing w:after="200"/>
        <w:ind w:left="720" w:hanging="720"/>
      </w:pPr>
      <w:proofErr w:type="gramStart"/>
      <w:r w:rsidRPr="00AF0A07">
        <w:t xml:space="preserve">Heckman, J., S. </w:t>
      </w:r>
      <w:proofErr w:type="spellStart"/>
      <w:r w:rsidRPr="00AF0A07">
        <w:t>Urzua</w:t>
      </w:r>
      <w:proofErr w:type="spellEnd"/>
      <w:r w:rsidRPr="00AF0A07">
        <w:t xml:space="preserve"> and E. </w:t>
      </w:r>
      <w:proofErr w:type="spellStart"/>
      <w:r w:rsidRPr="00AF0A07">
        <w:t>Vytlacil</w:t>
      </w:r>
      <w:proofErr w:type="spellEnd"/>
      <w:r w:rsidRPr="00AF0A07">
        <w:t>.</w:t>
      </w:r>
      <w:proofErr w:type="gramEnd"/>
      <w:r w:rsidRPr="00AF0A07">
        <w:t xml:space="preserve"> (2006). “Understanding Instrumental Variables in Models with Essential Heterogeneity,” </w:t>
      </w:r>
      <w:r w:rsidRPr="00AF0A07">
        <w:rPr>
          <w:i/>
        </w:rPr>
        <w:t>Review of Economics and Statistics</w:t>
      </w:r>
      <w:r w:rsidRPr="00AF0A07">
        <w:t>, 88(3): 389-432.</w:t>
      </w:r>
    </w:p>
    <w:p w:rsidR="00E067B8" w:rsidRPr="00AF0A07" w:rsidRDefault="00E067B8" w:rsidP="00E067B8">
      <w:pPr>
        <w:widowControl w:val="0"/>
        <w:spacing w:after="200"/>
        <w:ind w:left="720" w:hanging="720"/>
        <w:rPr>
          <w:rStyle w:val="listlinklink"/>
        </w:rPr>
      </w:pPr>
      <w:r w:rsidRPr="00AF0A07">
        <w:rPr>
          <w:rStyle w:val="listlinklink"/>
        </w:rPr>
        <w:t>Hedges, L</w:t>
      </w:r>
      <w:proofErr w:type="gramStart"/>
      <w:r w:rsidRPr="00AF0A07">
        <w:rPr>
          <w:rStyle w:val="listlinklink"/>
        </w:rPr>
        <w:t>. ,</w:t>
      </w:r>
      <w:proofErr w:type="gramEnd"/>
      <w:r w:rsidRPr="00AF0A07">
        <w:rPr>
          <w:rStyle w:val="listlinklink"/>
        </w:rPr>
        <w:t xml:space="preserve"> </w:t>
      </w:r>
      <w:proofErr w:type="spellStart"/>
      <w:r w:rsidRPr="00AF0A07">
        <w:t>O’Muircheartaigh</w:t>
      </w:r>
      <w:proofErr w:type="spellEnd"/>
      <w:r w:rsidRPr="00AF0A07">
        <w:rPr>
          <w:rStyle w:val="listlinklink"/>
        </w:rPr>
        <w:t xml:space="preserve">, C. (2011).  </w:t>
      </w:r>
      <w:proofErr w:type="gramStart"/>
      <w:r w:rsidRPr="00AF0A07">
        <w:rPr>
          <w:rStyle w:val="listlinklink"/>
        </w:rPr>
        <w:t>Generalization from Experiments.</w:t>
      </w:r>
      <w:proofErr w:type="gramEnd"/>
      <w:r w:rsidRPr="00AF0A07">
        <w:rPr>
          <w:rStyle w:val="listlinklink"/>
        </w:rPr>
        <w:t xml:space="preserve">  Retrieved from </w:t>
      </w:r>
      <w:hyperlink r:id="rId132" w:history="1">
        <w:r w:rsidRPr="00AF0A07">
          <w:rPr>
            <w:rStyle w:val="Hyperlink"/>
          </w:rPr>
          <w:t>http://steinhardt.nyu.edu/scmsAdmin/uploads/003/585/Generalization%20from%20Experiments-Hedges.pdf</w:t>
        </w:r>
      </w:hyperlink>
    </w:p>
    <w:p w:rsidR="00E067B8" w:rsidRPr="00AF0A07" w:rsidRDefault="00E067B8" w:rsidP="00E067B8">
      <w:pPr>
        <w:pStyle w:val="reference"/>
        <w:spacing w:after="200" w:line="240" w:lineRule="auto"/>
        <w:rPr>
          <w:color w:val="auto"/>
        </w:rPr>
      </w:pPr>
      <w:proofErr w:type="gramStart"/>
      <w:r w:rsidRPr="00AF0A07">
        <w:rPr>
          <w:color w:val="auto"/>
        </w:rPr>
        <w:lastRenderedPageBreak/>
        <w:t>Hill, H. C., Rowan, B., and Ball, D. L. (2005).</w:t>
      </w:r>
      <w:proofErr w:type="gramEnd"/>
      <w:r w:rsidRPr="00AF0A07">
        <w:rPr>
          <w:color w:val="auto"/>
        </w:rPr>
        <w:t xml:space="preserve"> </w:t>
      </w:r>
      <w:proofErr w:type="gramStart"/>
      <w:r w:rsidRPr="00AF0A07">
        <w:rPr>
          <w:color w:val="auto"/>
        </w:rPr>
        <w:t>Effects of teachers' mathematical knowledge for teaching on student achievement.</w:t>
      </w:r>
      <w:proofErr w:type="gramEnd"/>
      <w:r w:rsidRPr="00AF0A07">
        <w:rPr>
          <w:color w:val="auto"/>
        </w:rPr>
        <w:t xml:space="preserve"> </w:t>
      </w:r>
      <w:r w:rsidRPr="00AF0A07">
        <w:rPr>
          <w:i/>
          <w:color w:val="auto"/>
        </w:rPr>
        <w:t>American Educational Research Journal</w:t>
      </w:r>
      <w:r w:rsidRPr="00AF0A07">
        <w:rPr>
          <w:color w:val="auto"/>
        </w:rPr>
        <w:t xml:space="preserve">, </w:t>
      </w:r>
      <w:r w:rsidRPr="00AF0A07">
        <w:rPr>
          <w:i/>
          <w:color w:val="auto"/>
        </w:rPr>
        <w:t>42</w:t>
      </w:r>
      <w:r w:rsidRPr="00AF0A07">
        <w:rPr>
          <w:color w:val="auto"/>
        </w:rPr>
        <w:t>(2), 371-406.</w:t>
      </w:r>
    </w:p>
    <w:p w:rsidR="00E067B8" w:rsidRPr="00AF0A07" w:rsidRDefault="00E067B8" w:rsidP="00E067B8">
      <w:pPr>
        <w:pStyle w:val="reference"/>
        <w:spacing w:after="200" w:line="240" w:lineRule="auto"/>
        <w:rPr>
          <w:color w:val="auto"/>
        </w:rPr>
      </w:pPr>
      <w:proofErr w:type="gramStart"/>
      <w:r w:rsidRPr="00AF0A07">
        <w:t xml:space="preserve">Hirano, K., &amp; </w:t>
      </w:r>
      <w:proofErr w:type="spellStart"/>
      <w:r w:rsidRPr="00AF0A07">
        <w:t>Imbens</w:t>
      </w:r>
      <w:proofErr w:type="spellEnd"/>
      <w:r w:rsidRPr="00AF0A07">
        <w:t>, G. W. (2001).</w:t>
      </w:r>
      <w:proofErr w:type="gramEnd"/>
      <w:r w:rsidRPr="00AF0A07">
        <w:t xml:space="preserve"> Estimation of causal effects using propensity score weighting: An application to data on right heart catheterization.  </w:t>
      </w:r>
      <w:r w:rsidRPr="00AF0A07">
        <w:rPr>
          <w:rStyle w:val="Emphasis"/>
        </w:rPr>
        <w:t>Health Services and Outcomes Research Methodology</w:t>
      </w:r>
      <w:r w:rsidRPr="00AF0A07">
        <w:t xml:space="preserve"> </w:t>
      </w:r>
      <w:r w:rsidRPr="00AF0A07">
        <w:rPr>
          <w:i/>
        </w:rPr>
        <w:t xml:space="preserve">2, </w:t>
      </w:r>
      <w:r w:rsidRPr="00AF0A07">
        <w:t>259-278.</w:t>
      </w:r>
    </w:p>
    <w:p w:rsidR="00E067B8" w:rsidRPr="00AF0A07" w:rsidRDefault="00E067B8" w:rsidP="00E067B8">
      <w:pPr>
        <w:autoSpaceDE w:val="0"/>
        <w:autoSpaceDN w:val="0"/>
        <w:adjustRightInd w:val="0"/>
        <w:spacing w:after="200"/>
        <w:ind w:left="720" w:hanging="720"/>
        <w:rPr>
          <w:lang w:eastAsia="zh-CN"/>
        </w:rPr>
      </w:pPr>
      <w:r w:rsidRPr="00AF0A07">
        <w:rPr>
          <w:lang w:eastAsia="zh-CN"/>
        </w:rPr>
        <w:t xml:space="preserve">Holland, P. W. (1986). </w:t>
      </w:r>
      <w:proofErr w:type="gramStart"/>
      <w:r w:rsidRPr="00AF0A07">
        <w:rPr>
          <w:lang w:eastAsia="zh-CN"/>
        </w:rPr>
        <w:t>Statistics and Causal Inference.</w:t>
      </w:r>
      <w:proofErr w:type="gramEnd"/>
      <w:r w:rsidRPr="00AF0A07">
        <w:rPr>
          <w:lang w:eastAsia="zh-CN"/>
        </w:rPr>
        <w:t xml:space="preserve"> </w:t>
      </w:r>
      <w:proofErr w:type="gramStart"/>
      <w:r w:rsidRPr="00AF0A07">
        <w:rPr>
          <w:i/>
          <w:lang w:eastAsia="zh-CN"/>
        </w:rPr>
        <w:t>Journal of the American Statistical Association, 81</w:t>
      </w:r>
      <w:r w:rsidRPr="00AF0A07">
        <w:rPr>
          <w:lang w:eastAsia="zh-CN"/>
        </w:rPr>
        <w:t>, 945-70.</w:t>
      </w:r>
      <w:proofErr w:type="gramEnd"/>
    </w:p>
    <w:p w:rsidR="00E067B8" w:rsidRPr="00AF0A07" w:rsidRDefault="00E067B8" w:rsidP="00E067B8">
      <w:pPr>
        <w:autoSpaceDE w:val="0"/>
        <w:autoSpaceDN w:val="0"/>
        <w:adjustRightInd w:val="0"/>
        <w:spacing w:after="200"/>
        <w:ind w:left="720" w:hanging="720"/>
      </w:pPr>
      <w:r w:rsidRPr="00AF0A07">
        <w:t xml:space="preserve">Holland, P. W. (1989). Choosing among alternative </w:t>
      </w:r>
      <w:proofErr w:type="spellStart"/>
      <w:r w:rsidRPr="00AF0A07">
        <w:t>nonexperimental</w:t>
      </w:r>
      <w:proofErr w:type="spellEnd"/>
      <w:r w:rsidRPr="00AF0A07">
        <w:t xml:space="preserve"> methods for estimating the impact of social programs: The case of manpower training: Comment.  </w:t>
      </w:r>
      <w:r w:rsidRPr="00AF0A07">
        <w:rPr>
          <w:i/>
        </w:rPr>
        <w:t>Journal of the American Statistical Association</w:t>
      </w:r>
      <w:r w:rsidRPr="00AF0A07">
        <w:t xml:space="preserve">, </w:t>
      </w:r>
      <w:r w:rsidRPr="00AF0A07">
        <w:rPr>
          <w:i/>
        </w:rPr>
        <w:t>84</w:t>
      </w:r>
      <w:r w:rsidRPr="00AF0A07">
        <w:t>(408), 875-877.</w:t>
      </w:r>
    </w:p>
    <w:p w:rsidR="00E067B8" w:rsidRPr="00AF0A07" w:rsidRDefault="00E067B8" w:rsidP="00E067B8">
      <w:pPr>
        <w:widowControl w:val="0"/>
        <w:spacing w:after="200"/>
        <w:ind w:left="720" w:hanging="720"/>
      </w:pPr>
      <w:r w:rsidRPr="00AF0A07">
        <w:t>Holmes, C. T. (1989). Grade level retention effects: A meta-analysis of research studies. In</w:t>
      </w:r>
      <w:r w:rsidRPr="00AF0A07">
        <w:rPr>
          <w:color w:val="FF0000"/>
        </w:rPr>
        <w:t xml:space="preserve"> </w:t>
      </w:r>
      <w:r w:rsidRPr="00AF0A07">
        <w:t xml:space="preserve">Shepard, L. A., and Smith, M. L., </w:t>
      </w:r>
      <w:r w:rsidRPr="00AF0A07">
        <w:rPr>
          <w:i/>
        </w:rPr>
        <w:t xml:space="preserve">Flunking grades </w:t>
      </w:r>
      <w:r w:rsidRPr="00AF0A07">
        <w:t xml:space="preserve">(pp. 16-33). New York: </w:t>
      </w:r>
      <w:proofErr w:type="spellStart"/>
      <w:r w:rsidRPr="00AF0A07">
        <w:t>Falmer</w:t>
      </w:r>
      <w:proofErr w:type="spellEnd"/>
      <w:r w:rsidRPr="00AF0A07">
        <w:t xml:space="preserve"> Press. </w:t>
      </w:r>
    </w:p>
    <w:p w:rsidR="00E067B8" w:rsidRPr="00AF0A07" w:rsidRDefault="00E067B8" w:rsidP="00E067B8">
      <w:pPr>
        <w:widowControl w:val="0"/>
        <w:spacing w:after="200"/>
        <w:ind w:left="720" w:hanging="720"/>
      </w:pPr>
      <w:proofErr w:type="gramStart"/>
      <w:r w:rsidRPr="00AF0A07">
        <w:t>Holmes, C. T., and Matthews, K. (1984).</w:t>
      </w:r>
      <w:proofErr w:type="gramEnd"/>
      <w:r w:rsidRPr="00AF0A07">
        <w:t xml:space="preserve"> The Effects of </w:t>
      </w:r>
      <w:proofErr w:type="spellStart"/>
      <w:r w:rsidRPr="00AF0A07">
        <w:t>nonpromotion</w:t>
      </w:r>
      <w:proofErr w:type="spellEnd"/>
      <w:r w:rsidRPr="00AF0A07">
        <w:t xml:space="preserve"> on elementary and junior high school pupils: A </w:t>
      </w:r>
      <w:proofErr w:type="gramStart"/>
      <w:r w:rsidRPr="00AF0A07">
        <w:t>meta</w:t>
      </w:r>
      <w:proofErr w:type="gramEnd"/>
      <w:r w:rsidRPr="00AF0A07">
        <w:t xml:space="preserve"> analysis. </w:t>
      </w:r>
      <w:r w:rsidRPr="00AF0A07">
        <w:rPr>
          <w:i/>
        </w:rPr>
        <w:t>Review of Educational Research</w:t>
      </w:r>
      <w:r w:rsidRPr="00AF0A07">
        <w:t xml:space="preserve">, </w:t>
      </w:r>
      <w:r w:rsidRPr="00AF0A07">
        <w:rPr>
          <w:i/>
        </w:rPr>
        <w:t>54</w:t>
      </w:r>
      <w:r w:rsidRPr="00AF0A07">
        <w:t>, 225-236.</w:t>
      </w:r>
    </w:p>
    <w:p w:rsidR="00E067B8" w:rsidRPr="00AF0A07" w:rsidRDefault="00E067B8" w:rsidP="00E067B8">
      <w:pPr>
        <w:widowControl w:val="0"/>
        <w:autoSpaceDE w:val="0"/>
        <w:autoSpaceDN w:val="0"/>
        <w:adjustRightInd w:val="0"/>
        <w:spacing w:after="200"/>
        <w:ind w:left="720" w:hanging="720"/>
      </w:pPr>
      <w:proofErr w:type="gramStart"/>
      <w:r w:rsidRPr="00AF0A07">
        <w:t>Hong, G., and Raudenbush, S. W. (2005).</w:t>
      </w:r>
      <w:proofErr w:type="gramEnd"/>
      <w:r w:rsidRPr="00AF0A07">
        <w:t xml:space="preserve"> </w:t>
      </w:r>
      <w:proofErr w:type="gramStart"/>
      <w:r w:rsidRPr="00AF0A07">
        <w:t>Effects of kindergarten retention policy on children’s cognitive growth in reading and mathematics.</w:t>
      </w:r>
      <w:proofErr w:type="gramEnd"/>
      <w:r w:rsidRPr="00AF0A07">
        <w:t xml:space="preserve"> </w:t>
      </w:r>
      <w:r w:rsidRPr="00AF0A07">
        <w:rPr>
          <w:i/>
        </w:rPr>
        <w:t>Educational Evaluation and Policy Analysis</w:t>
      </w:r>
      <w:r w:rsidRPr="00AF0A07">
        <w:t xml:space="preserve">, </w:t>
      </w:r>
      <w:r w:rsidRPr="00AF0A07">
        <w:rPr>
          <w:i/>
        </w:rPr>
        <w:t>27</w:t>
      </w:r>
      <w:r w:rsidRPr="00AF0A07">
        <w:t>(3), 205-224.</w:t>
      </w:r>
    </w:p>
    <w:p w:rsidR="00727399" w:rsidRPr="00AF0A07" w:rsidRDefault="00E067B8" w:rsidP="00727399">
      <w:pPr>
        <w:pStyle w:val="NormalWeb"/>
        <w:spacing w:after="200" w:afterAutospacing="0"/>
        <w:ind w:left="720" w:hanging="720"/>
        <w:rPr>
          <w:color w:val="auto"/>
        </w:rPr>
      </w:pPr>
      <w:proofErr w:type="spellStart"/>
      <w:proofErr w:type="gramStart"/>
      <w:r w:rsidRPr="00AF0A07">
        <w:rPr>
          <w:color w:val="auto"/>
        </w:rPr>
        <w:t>Ichino</w:t>
      </w:r>
      <w:proofErr w:type="spellEnd"/>
      <w:r w:rsidRPr="00AF0A07">
        <w:rPr>
          <w:color w:val="auto"/>
        </w:rPr>
        <w:t xml:space="preserve">, A., </w:t>
      </w:r>
      <w:proofErr w:type="spellStart"/>
      <w:r w:rsidRPr="00AF0A07">
        <w:rPr>
          <w:color w:val="auto"/>
        </w:rPr>
        <w:t>Mealli</w:t>
      </w:r>
      <w:proofErr w:type="spellEnd"/>
      <w:r w:rsidRPr="00AF0A07">
        <w:rPr>
          <w:color w:val="auto"/>
        </w:rPr>
        <w:t xml:space="preserve">, F., &amp; </w:t>
      </w:r>
      <w:proofErr w:type="spellStart"/>
      <w:r w:rsidRPr="00AF0A07">
        <w:rPr>
          <w:color w:val="auto"/>
        </w:rPr>
        <w:t>Nannicini</w:t>
      </w:r>
      <w:proofErr w:type="spellEnd"/>
      <w:r w:rsidRPr="00AF0A07">
        <w:rPr>
          <w:color w:val="auto"/>
        </w:rPr>
        <w:t>, T. (2008).</w:t>
      </w:r>
      <w:proofErr w:type="gramEnd"/>
      <w:r w:rsidRPr="00AF0A07">
        <w:rPr>
          <w:color w:val="auto"/>
        </w:rPr>
        <w:t xml:space="preserve"> From temporary help jobs to permanent employment:</w:t>
      </w:r>
      <w:r w:rsidRPr="00AF0A07">
        <w:t xml:space="preserve"> </w:t>
      </w:r>
      <w:r w:rsidRPr="00AF0A07">
        <w:rPr>
          <w:color w:val="auto"/>
        </w:rPr>
        <w:t xml:space="preserve">What can we learn from matching estimators and their sensitivity? </w:t>
      </w:r>
      <w:r w:rsidRPr="00AF0A07">
        <w:rPr>
          <w:i/>
          <w:color w:val="auto"/>
        </w:rPr>
        <w:t>Journal of Applied Econometrics</w:t>
      </w:r>
      <w:proofErr w:type="gramStart"/>
      <w:r w:rsidRPr="00AF0A07">
        <w:rPr>
          <w:color w:val="auto"/>
        </w:rPr>
        <w:t>,23</w:t>
      </w:r>
      <w:proofErr w:type="gramEnd"/>
      <w:r w:rsidRPr="00AF0A07">
        <w:rPr>
          <w:color w:val="auto"/>
        </w:rPr>
        <w:t>, 305–327. doi:10.1002/jae.998.</w:t>
      </w:r>
    </w:p>
    <w:p w:rsidR="00727399" w:rsidRPr="00AF0A07" w:rsidRDefault="00727399" w:rsidP="00727399">
      <w:pPr>
        <w:pStyle w:val="NormalWeb"/>
        <w:spacing w:after="200" w:afterAutospacing="0"/>
        <w:ind w:left="720" w:hanging="720"/>
        <w:rPr>
          <w:color w:val="000000" w:themeColor="text1"/>
        </w:rPr>
      </w:pPr>
      <w:r w:rsidRPr="00AF0A07">
        <w:rPr>
          <w:bCs/>
          <w:color w:val="000000" w:themeColor="text1"/>
        </w:rPr>
        <w:t xml:space="preserve">Imai, K., </w:t>
      </w:r>
      <w:proofErr w:type="spellStart"/>
      <w:r w:rsidRPr="00AF0A07">
        <w:rPr>
          <w:bCs/>
          <w:color w:val="000000" w:themeColor="text1"/>
        </w:rPr>
        <w:t>Keele</w:t>
      </w:r>
      <w:proofErr w:type="spellEnd"/>
      <w:r w:rsidRPr="00AF0A07">
        <w:rPr>
          <w:bCs/>
          <w:color w:val="000000" w:themeColor="text1"/>
        </w:rPr>
        <w:t xml:space="preserve">, L., and Yamamoto, </w:t>
      </w:r>
      <w:proofErr w:type="spellStart"/>
      <w:r w:rsidRPr="00AF0A07">
        <w:rPr>
          <w:bCs/>
          <w:color w:val="000000" w:themeColor="text1"/>
        </w:rPr>
        <w:t>Teppei</w:t>
      </w:r>
      <w:proofErr w:type="spellEnd"/>
      <w:r w:rsidRPr="00AF0A07">
        <w:rPr>
          <w:bCs/>
          <w:color w:val="000000" w:themeColor="text1"/>
        </w:rPr>
        <w:t xml:space="preserve">. </w:t>
      </w:r>
      <w:proofErr w:type="gramStart"/>
      <w:r w:rsidRPr="00AF0A07">
        <w:rPr>
          <w:bCs/>
          <w:color w:val="000000" w:themeColor="text1"/>
        </w:rPr>
        <w:t>(2010). Identification, Inference and Sensitivity Analysis for Causal Mediation Effects.</w:t>
      </w:r>
      <w:proofErr w:type="gramEnd"/>
      <w:r w:rsidRPr="00AF0A07">
        <w:rPr>
          <w:bCs/>
          <w:color w:val="000000" w:themeColor="text1"/>
        </w:rPr>
        <w:t xml:space="preserve"> </w:t>
      </w:r>
      <w:r w:rsidRPr="00AF0A07">
        <w:rPr>
          <w:iCs/>
          <w:color w:val="000000" w:themeColor="text1"/>
        </w:rPr>
        <w:t xml:space="preserve">Statistical Science </w:t>
      </w:r>
      <w:r w:rsidRPr="00AF0A07">
        <w:rPr>
          <w:color w:val="000000" w:themeColor="text1"/>
        </w:rPr>
        <w:t>Vol. 25, No. 1, 51–71.</w:t>
      </w:r>
    </w:p>
    <w:p w:rsidR="00E067B8" w:rsidRPr="00AF0A07" w:rsidRDefault="00E067B8" w:rsidP="00E067B8">
      <w:pPr>
        <w:spacing w:after="200"/>
        <w:ind w:left="720" w:hanging="720"/>
        <w:rPr>
          <w:u w:val="single"/>
        </w:rPr>
      </w:pPr>
      <w:proofErr w:type="spellStart"/>
      <w:proofErr w:type="gramStart"/>
      <w:r w:rsidRPr="00AF0A07">
        <w:t>Jimerson</w:t>
      </w:r>
      <w:proofErr w:type="spellEnd"/>
      <w:r w:rsidRPr="00AF0A07">
        <w:t>, S. (2001).</w:t>
      </w:r>
      <w:proofErr w:type="gramEnd"/>
      <w:r w:rsidRPr="00AF0A07">
        <w:t xml:space="preserve"> Meta-analysis of grade retention research: Implications for practice in the 21st century. </w:t>
      </w:r>
      <w:r w:rsidRPr="00AF0A07">
        <w:rPr>
          <w:i/>
        </w:rPr>
        <w:t>School Psychology Review, 30</w:t>
      </w:r>
      <w:r w:rsidRPr="00AF0A07">
        <w:t>(3), 420-437.</w:t>
      </w:r>
    </w:p>
    <w:p w:rsidR="00E067B8" w:rsidRPr="00AF0A07" w:rsidRDefault="00E067B8" w:rsidP="00E067B8">
      <w:pPr>
        <w:widowControl w:val="0"/>
        <w:autoSpaceDE w:val="0"/>
        <w:autoSpaceDN w:val="0"/>
        <w:adjustRightInd w:val="0"/>
        <w:spacing w:after="200"/>
        <w:ind w:left="720" w:hanging="720"/>
      </w:pPr>
      <w:proofErr w:type="spellStart"/>
      <w:r w:rsidRPr="00AF0A07">
        <w:t>Karweit</w:t>
      </w:r>
      <w:proofErr w:type="spellEnd"/>
      <w:r w:rsidRPr="00AF0A07">
        <w:t xml:space="preserve">, N. L. (1992). </w:t>
      </w:r>
      <w:proofErr w:type="gramStart"/>
      <w:r w:rsidRPr="00AF0A07">
        <w:t>Retention policy.</w:t>
      </w:r>
      <w:proofErr w:type="gramEnd"/>
      <w:r w:rsidRPr="00AF0A07">
        <w:t xml:space="preserve"> In </w:t>
      </w:r>
      <w:proofErr w:type="spellStart"/>
      <w:r w:rsidRPr="00AF0A07">
        <w:t>Alkin</w:t>
      </w:r>
      <w:proofErr w:type="spellEnd"/>
      <w:r w:rsidRPr="00AF0A07">
        <w:t xml:space="preserve">, M. (Ed.), </w:t>
      </w:r>
      <w:r w:rsidRPr="00AF0A07">
        <w:rPr>
          <w:i/>
        </w:rPr>
        <w:t>Encyclopedia of educational research</w:t>
      </w:r>
      <w:r w:rsidRPr="00AF0A07">
        <w:t xml:space="preserve"> (pp. 114–118). New York: Macmillan.</w:t>
      </w:r>
    </w:p>
    <w:p w:rsidR="00E067B8" w:rsidRPr="00AF0A07" w:rsidRDefault="00E067B8" w:rsidP="00E067B8">
      <w:pPr>
        <w:widowControl w:val="0"/>
        <w:spacing w:after="200"/>
        <w:ind w:left="720" w:hanging="720"/>
      </w:pPr>
      <w:proofErr w:type="gramStart"/>
      <w:r w:rsidRPr="00AF0A07">
        <w:t>Kuhn, T. (1962).</w:t>
      </w:r>
      <w:proofErr w:type="gramEnd"/>
      <w:r w:rsidRPr="00AF0A07">
        <w:t xml:space="preserve"> </w:t>
      </w:r>
      <w:r w:rsidRPr="00AF0A07">
        <w:rPr>
          <w:i/>
        </w:rPr>
        <w:t>The structure of Scientific Revolutions</w:t>
      </w:r>
      <w:r w:rsidRPr="00AF0A07">
        <w:t>.  Chicago: University of Chicago Press.</w:t>
      </w:r>
    </w:p>
    <w:p w:rsidR="00E067B8" w:rsidRPr="00AF0A07" w:rsidRDefault="00E067B8" w:rsidP="00E067B8">
      <w:pPr>
        <w:autoSpaceDE w:val="0"/>
        <w:autoSpaceDN w:val="0"/>
        <w:adjustRightInd w:val="0"/>
        <w:spacing w:after="200"/>
        <w:ind w:left="720" w:hanging="720"/>
      </w:pPr>
      <w:proofErr w:type="spellStart"/>
      <w:r w:rsidRPr="00AF0A07">
        <w:t>Kvanvig</w:t>
      </w:r>
      <w:proofErr w:type="spellEnd"/>
      <w:r w:rsidRPr="00AF0A07">
        <w:t xml:space="preserve">, J. L. (2003). </w:t>
      </w:r>
      <w:proofErr w:type="gramStart"/>
      <w:r w:rsidRPr="00AF0A07">
        <w:rPr>
          <w:i/>
        </w:rPr>
        <w:t>The Value of Knowledge and the Pursuit of Understanding</w:t>
      </w:r>
      <w:r w:rsidRPr="00AF0A07">
        <w:t>.</w:t>
      </w:r>
      <w:proofErr w:type="gramEnd"/>
      <w:r w:rsidRPr="00AF0A07">
        <w:t xml:space="preserve"> Oxford: Oxford University Press.</w:t>
      </w:r>
    </w:p>
    <w:p w:rsidR="00E067B8" w:rsidRPr="00AF0A07" w:rsidRDefault="00BF0E08" w:rsidP="00E067B8">
      <w:pPr>
        <w:widowControl w:val="0"/>
        <w:spacing w:after="200"/>
        <w:ind w:left="720" w:hanging="720"/>
        <w:rPr>
          <w:rStyle w:val="ti2"/>
          <w:color w:val="000000"/>
          <w:sz w:val="24"/>
          <w:szCs w:val="24"/>
        </w:rPr>
      </w:pPr>
      <w:hyperlink r:id="rId133" w:tooltip="Click to search for citations by this author." w:history="1">
        <w:r w:rsidR="00E067B8" w:rsidRPr="00AF0A07">
          <w:rPr>
            <w:rStyle w:val="Hyperlink"/>
            <w:color w:val="000000"/>
            <w:u w:val="none"/>
          </w:rPr>
          <w:t>Lin. D.Y</w:t>
        </w:r>
      </w:hyperlink>
      <w:r w:rsidR="00E067B8" w:rsidRPr="00AF0A07">
        <w:rPr>
          <w:color w:val="000000"/>
        </w:rPr>
        <w:t xml:space="preserve">., </w:t>
      </w:r>
      <w:hyperlink r:id="rId134" w:tooltip="Click to search for citations by this author." w:history="1">
        <w:proofErr w:type="spellStart"/>
        <w:r w:rsidR="00E067B8" w:rsidRPr="00AF0A07">
          <w:rPr>
            <w:rStyle w:val="Hyperlink"/>
            <w:color w:val="000000"/>
            <w:u w:val="none"/>
          </w:rPr>
          <w:t>Psaty</w:t>
        </w:r>
        <w:proofErr w:type="spellEnd"/>
        <w:r w:rsidR="00E067B8" w:rsidRPr="00AF0A07">
          <w:rPr>
            <w:rStyle w:val="Hyperlink"/>
            <w:color w:val="000000"/>
            <w:u w:val="none"/>
          </w:rPr>
          <w:t>, B. M</w:t>
        </w:r>
      </w:hyperlink>
      <w:r w:rsidR="00E067B8" w:rsidRPr="00AF0A07">
        <w:rPr>
          <w:color w:val="000000"/>
        </w:rPr>
        <w:t>.</w:t>
      </w:r>
      <w:proofErr w:type="gramStart"/>
      <w:r w:rsidR="00E067B8" w:rsidRPr="00AF0A07">
        <w:rPr>
          <w:color w:val="000000"/>
        </w:rPr>
        <w:t>,  &amp;</w:t>
      </w:r>
      <w:proofErr w:type="gramEnd"/>
      <w:r w:rsidR="00E067B8" w:rsidRPr="00AF0A07">
        <w:rPr>
          <w:color w:val="000000"/>
        </w:rPr>
        <w:t xml:space="preserve"> </w:t>
      </w:r>
      <w:hyperlink r:id="rId135" w:tooltip="Click to search for citations by this author." w:history="1">
        <w:proofErr w:type="spellStart"/>
        <w:r w:rsidR="00E067B8" w:rsidRPr="00AF0A07">
          <w:rPr>
            <w:rStyle w:val="Hyperlink"/>
            <w:color w:val="000000"/>
            <w:u w:val="none"/>
          </w:rPr>
          <w:t>Kronmal</w:t>
        </w:r>
        <w:proofErr w:type="spellEnd"/>
        <w:r w:rsidR="00E067B8" w:rsidRPr="00AF0A07">
          <w:rPr>
            <w:rStyle w:val="Hyperlink"/>
            <w:color w:val="000000"/>
            <w:u w:val="none"/>
          </w:rPr>
          <w:t>, R.A</w:t>
        </w:r>
      </w:hyperlink>
      <w:r w:rsidR="00E067B8" w:rsidRPr="00AF0A07">
        <w:rPr>
          <w:color w:val="000000"/>
        </w:rPr>
        <w:t xml:space="preserve">. (1998). Assessing the sensitivity of regression results </w:t>
      </w:r>
      <w:proofErr w:type="gramStart"/>
      <w:r w:rsidR="00E067B8" w:rsidRPr="00AF0A07">
        <w:rPr>
          <w:color w:val="000000"/>
        </w:rPr>
        <w:t>to  unmeasured</w:t>
      </w:r>
      <w:proofErr w:type="gramEnd"/>
      <w:r w:rsidR="00E067B8" w:rsidRPr="00AF0A07">
        <w:rPr>
          <w:color w:val="000000"/>
        </w:rPr>
        <w:t xml:space="preserve"> confounders in observational studies. </w:t>
      </w:r>
      <w:r w:rsidR="00E067B8" w:rsidRPr="00AF0A07">
        <w:rPr>
          <w:rStyle w:val="ti2"/>
          <w:color w:val="000000"/>
          <w:sz w:val="24"/>
          <w:szCs w:val="24"/>
        </w:rPr>
        <w:t xml:space="preserve"> </w:t>
      </w:r>
      <w:hyperlink r:id="rId136" w:history="1">
        <w:r w:rsidR="00E067B8" w:rsidRPr="00AF0A07">
          <w:rPr>
            <w:rStyle w:val="Hyperlink"/>
            <w:i/>
            <w:color w:val="000000"/>
            <w:u w:val="none"/>
          </w:rPr>
          <w:t>Biometrics</w:t>
        </w:r>
      </w:hyperlink>
      <w:r w:rsidR="00E067B8" w:rsidRPr="00AF0A07">
        <w:rPr>
          <w:rStyle w:val="ti2"/>
          <w:color w:val="000000"/>
          <w:sz w:val="24"/>
          <w:szCs w:val="24"/>
        </w:rPr>
        <w:t>, 54(3), 948-63</w:t>
      </w:r>
    </w:p>
    <w:p w:rsidR="00E067B8" w:rsidRPr="00AF0A07" w:rsidRDefault="00E067B8" w:rsidP="00E067B8">
      <w:pPr>
        <w:autoSpaceDE w:val="0"/>
        <w:autoSpaceDN w:val="0"/>
        <w:adjustRightInd w:val="0"/>
        <w:spacing w:after="200"/>
        <w:ind w:left="720" w:hanging="720"/>
      </w:pPr>
      <w:proofErr w:type="spellStart"/>
      <w:proofErr w:type="gramStart"/>
      <w:r w:rsidRPr="00AF0A07">
        <w:t>Lorence</w:t>
      </w:r>
      <w:proofErr w:type="spellEnd"/>
      <w:r w:rsidRPr="00AF0A07">
        <w:t xml:space="preserve">, J., Dworkin, G., </w:t>
      </w:r>
      <w:proofErr w:type="spellStart"/>
      <w:r w:rsidRPr="00AF0A07">
        <w:t>Toenjes</w:t>
      </w:r>
      <w:proofErr w:type="spellEnd"/>
      <w:r w:rsidRPr="00AF0A07">
        <w:t>, L., and Hill, A. (2002).</w:t>
      </w:r>
      <w:proofErr w:type="gramEnd"/>
      <w:r w:rsidRPr="00AF0A07">
        <w:t xml:space="preserve"> </w:t>
      </w:r>
      <w:proofErr w:type="gramStart"/>
      <w:r w:rsidRPr="00AF0A07">
        <w:t>Grade retention and social promotion in Texas, 1994-99: Academic achievement among elementary school students.</w:t>
      </w:r>
      <w:proofErr w:type="gramEnd"/>
      <w:r w:rsidRPr="00AF0A07">
        <w:t xml:space="preserve"> </w:t>
      </w:r>
      <w:proofErr w:type="gramStart"/>
      <w:r w:rsidRPr="00AF0A07">
        <w:t>In</w:t>
      </w:r>
      <w:r w:rsidRPr="00AF0A07">
        <w:rPr>
          <w:color w:val="FF0000"/>
        </w:rPr>
        <w:t xml:space="preserve"> </w:t>
      </w:r>
      <w:proofErr w:type="spellStart"/>
      <w:r w:rsidRPr="00AF0A07">
        <w:t>Ravitch</w:t>
      </w:r>
      <w:proofErr w:type="spellEnd"/>
      <w:r w:rsidRPr="00AF0A07">
        <w:t xml:space="preserve">, D. (Ed.), </w:t>
      </w:r>
      <w:r w:rsidRPr="00AF0A07">
        <w:rPr>
          <w:i/>
        </w:rPr>
        <w:t xml:space="preserve">Brookings Papers on Education Policy </w:t>
      </w:r>
      <w:r w:rsidRPr="00AF0A07">
        <w:t>(pp. 13-67).</w:t>
      </w:r>
      <w:proofErr w:type="gramEnd"/>
      <w:r w:rsidRPr="00AF0A07">
        <w:t xml:space="preserve"> Washington, DC: Brookings Institution Press. </w:t>
      </w:r>
    </w:p>
    <w:p w:rsidR="00E067B8" w:rsidRPr="00AF0A07" w:rsidRDefault="00E067B8" w:rsidP="00E067B8">
      <w:pPr>
        <w:spacing w:after="200"/>
        <w:ind w:left="720" w:hanging="720"/>
      </w:pPr>
      <w:proofErr w:type="spellStart"/>
      <w:r w:rsidRPr="00AF0A07">
        <w:lastRenderedPageBreak/>
        <w:t>Manski</w:t>
      </w:r>
      <w:proofErr w:type="spellEnd"/>
      <w:r w:rsidRPr="00AF0A07">
        <w:t xml:space="preserve">, C. (1990). </w:t>
      </w:r>
      <w:proofErr w:type="gramStart"/>
      <w:r w:rsidRPr="00AF0A07">
        <w:t>Nonparametric Bounds on Treatment Effects.</w:t>
      </w:r>
      <w:proofErr w:type="gramEnd"/>
      <w:r w:rsidRPr="00AF0A07">
        <w:t xml:space="preserve">  </w:t>
      </w:r>
      <w:r w:rsidRPr="00AF0A07">
        <w:rPr>
          <w:i/>
        </w:rPr>
        <w:t>American Economic Review Papers and Proceedings</w:t>
      </w:r>
      <w:r w:rsidRPr="00AF0A07">
        <w:t xml:space="preserve">, Vol. 80, No. 2, pp. 319-323. </w:t>
      </w:r>
    </w:p>
    <w:p w:rsidR="00E067B8" w:rsidRPr="00AF0A07" w:rsidRDefault="00E067B8" w:rsidP="00E067B8">
      <w:pPr>
        <w:spacing w:after="200"/>
        <w:ind w:left="720" w:hanging="720"/>
      </w:pPr>
      <w:r w:rsidRPr="00AF0A07">
        <w:t xml:space="preserve">Mariano, Louis T., </w:t>
      </w:r>
      <w:proofErr w:type="spellStart"/>
      <w:r w:rsidRPr="00AF0A07">
        <w:t>Martorell</w:t>
      </w:r>
      <w:proofErr w:type="spellEnd"/>
      <w:r w:rsidRPr="00AF0A07">
        <w:t xml:space="preserve">, </w:t>
      </w:r>
      <w:proofErr w:type="spellStart"/>
      <w:r w:rsidRPr="00AF0A07">
        <w:t>Paco</w:t>
      </w:r>
      <w:proofErr w:type="spellEnd"/>
      <w:r w:rsidRPr="00AF0A07">
        <w:t xml:space="preserve">.  </w:t>
      </w:r>
      <w:proofErr w:type="gramStart"/>
      <w:r w:rsidRPr="00AF0A07">
        <w:t>(Forthcoming).</w:t>
      </w:r>
      <w:proofErr w:type="gramEnd"/>
      <w:r w:rsidRPr="00AF0A07">
        <w:t xml:space="preserve"> </w:t>
      </w:r>
      <w:proofErr w:type="gramStart"/>
      <w:r w:rsidRPr="00AF0A07">
        <w:t>The Academic Effects of Summer Instruction and Retention in New York City.</w:t>
      </w:r>
      <w:proofErr w:type="gramEnd"/>
      <w:r w:rsidRPr="00AF0A07">
        <w:t xml:space="preserve"> </w:t>
      </w:r>
      <w:r w:rsidRPr="00AF0A07">
        <w:rPr>
          <w:i/>
        </w:rPr>
        <w:t>Educational Evaluation and Policy Analysis</w:t>
      </w:r>
      <w:r w:rsidRPr="00AF0A07">
        <w:t>, Aug 2012; vol. 0: 0162373712454327</w:t>
      </w:r>
    </w:p>
    <w:p w:rsidR="00E067B8" w:rsidRPr="00AF0A07" w:rsidRDefault="00E067B8" w:rsidP="00E067B8">
      <w:pPr>
        <w:widowControl w:val="0"/>
        <w:autoSpaceDE w:val="0"/>
        <w:autoSpaceDN w:val="0"/>
        <w:adjustRightInd w:val="0"/>
        <w:spacing w:after="200"/>
        <w:ind w:left="720" w:hanging="720"/>
      </w:pPr>
      <w:r w:rsidRPr="00AF0A07">
        <w:t xml:space="preserve">Maroulis, S., </w:t>
      </w:r>
      <w:proofErr w:type="spellStart"/>
      <w:r w:rsidRPr="00AF0A07">
        <w:t>Guimera</w:t>
      </w:r>
      <w:proofErr w:type="spellEnd"/>
      <w:r w:rsidRPr="00AF0A07">
        <w:t xml:space="preserve">, R., </w:t>
      </w:r>
      <w:proofErr w:type="spellStart"/>
      <w:r w:rsidRPr="00AF0A07">
        <w:t>Petry</w:t>
      </w:r>
      <w:proofErr w:type="spellEnd"/>
      <w:r w:rsidRPr="00AF0A07">
        <w:t xml:space="preserve">, H., Gomez, L., </w:t>
      </w:r>
      <w:proofErr w:type="spellStart"/>
      <w:r w:rsidRPr="00AF0A07">
        <w:t>Amaral</w:t>
      </w:r>
      <w:proofErr w:type="spellEnd"/>
      <w:r w:rsidRPr="00AF0A07">
        <w:t xml:space="preserve">, L.A.N., </w:t>
      </w:r>
      <w:proofErr w:type="spellStart"/>
      <w:r w:rsidRPr="00AF0A07">
        <w:t>Wilensky</w:t>
      </w:r>
      <w:proofErr w:type="spellEnd"/>
      <w:r w:rsidRPr="00AF0A07">
        <w:t xml:space="preserve">, U. (2010). </w:t>
      </w:r>
      <w:proofErr w:type="gramStart"/>
      <w:r w:rsidRPr="00AF0A07">
        <w:t>“</w:t>
      </w:r>
      <w:hyperlink r:id="rId137" w:tooltip="Research_files/science-edforum.pdf" w:history="1">
        <w:r w:rsidRPr="008A34D9">
          <w:rPr>
            <w:rStyle w:val="Hyperlink"/>
            <w:color w:val="000000" w:themeColor="text1"/>
            <w:u w:val="none"/>
          </w:rPr>
          <w:t>A Complex Systems View of Educational Policy</w:t>
        </w:r>
      </w:hyperlink>
      <w:r w:rsidRPr="00AF0A07">
        <w:t>.”</w:t>
      </w:r>
      <w:proofErr w:type="gramEnd"/>
      <w:r w:rsidRPr="00AF0A07">
        <w:t xml:space="preserve"> </w:t>
      </w:r>
      <w:proofErr w:type="gramStart"/>
      <w:r w:rsidRPr="00AF0A07">
        <w:rPr>
          <w:rStyle w:val="style7"/>
        </w:rPr>
        <w:t>Science</w:t>
      </w:r>
      <w:r w:rsidRPr="00AF0A07">
        <w:t>.</w:t>
      </w:r>
      <w:proofErr w:type="gramEnd"/>
      <w:r w:rsidRPr="00AF0A07">
        <w:t xml:space="preserve"> Vol. 330, Issue 6000. </w:t>
      </w:r>
    </w:p>
    <w:p w:rsidR="00E067B8" w:rsidRPr="00AF0A07" w:rsidRDefault="00E067B8" w:rsidP="00E067B8">
      <w:pPr>
        <w:widowControl w:val="0"/>
        <w:autoSpaceDE w:val="0"/>
        <w:autoSpaceDN w:val="0"/>
        <w:adjustRightInd w:val="0"/>
        <w:spacing w:after="200"/>
        <w:ind w:left="720" w:hanging="720"/>
      </w:pPr>
      <w:r w:rsidRPr="00AF0A07">
        <w:t xml:space="preserve">Miller, Sarah, Connolly, Paul.  </w:t>
      </w:r>
      <w:proofErr w:type="gramStart"/>
      <w:r w:rsidRPr="00AF0A07">
        <w:t>(Forthcoming).</w:t>
      </w:r>
      <w:proofErr w:type="gramEnd"/>
      <w:r w:rsidRPr="00AF0A07">
        <w:t xml:space="preserve"> A Randomized Controlled Trial Evaluation of Time to Read, a Volunteer Tutoring Program for 8- to 9-Year-Olds. </w:t>
      </w:r>
      <w:r w:rsidRPr="00AF0A07">
        <w:rPr>
          <w:i/>
        </w:rPr>
        <w:t>Educational Evaluation and Policy Analysis</w:t>
      </w:r>
      <w:r w:rsidRPr="00AF0A07">
        <w:t>, Jul 2012; vol. 0: 0162373712452628</w:t>
      </w:r>
    </w:p>
    <w:p w:rsidR="00E067B8" w:rsidRPr="00AF0A07" w:rsidRDefault="00E067B8" w:rsidP="00E067B8">
      <w:pPr>
        <w:widowControl w:val="0"/>
        <w:spacing w:after="200"/>
        <w:ind w:left="720" w:hanging="720"/>
      </w:pPr>
      <w:r w:rsidRPr="00AF0A07">
        <w:t xml:space="preserve">Morgan, S. L. (2001). Counterfactuals, causal effect heterogeneity, and the Catholic school effect on learning. </w:t>
      </w:r>
      <w:r w:rsidRPr="00AF0A07">
        <w:rPr>
          <w:i/>
        </w:rPr>
        <w:t>Sociology of Education, 74,</w:t>
      </w:r>
      <w:r w:rsidRPr="00AF0A07">
        <w:t xml:space="preserve"> 341-374.</w:t>
      </w:r>
    </w:p>
    <w:p w:rsidR="00E067B8" w:rsidRPr="00AF0A07" w:rsidRDefault="00E067B8" w:rsidP="00E067B8">
      <w:pPr>
        <w:widowControl w:val="0"/>
        <w:autoSpaceDE w:val="0"/>
        <w:autoSpaceDN w:val="0"/>
        <w:adjustRightInd w:val="0"/>
        <w:spacing w:after="200"/>
        <w:ind w:left="720" w:hanging="720"/>
      </w:pPr>
      <w:proofErr w:type="gramStart"/>
      <w:r w:rsidRPr="00AF0A07">
        <w:t>Morgan, S. L. and Winship, C. (2007).</w:t>
      </w:r>
      <w:proofErr w:type="gramEnd"/>
      <w:r w:rsidRPr="00AF0A07">
        <w:t xml:space="preserve"> </w:t>
      </w:r>
      <w:r w:rsidRPr="00AF0A07">
        <w:rPr>
          <w:i/>
        </w:rPr>
        <w:t>Counterfactuals and Causal Inference: Methods and Principles for Social Research.</w:t>
      </w:r>
      <w:r w:rsidRPr="00AF0A07">
        <w:t xml:space="preserve"> Cambridge: Cambridge University Press.</w:t>
      </w:r>
    </w:p>
    <w:p w:rsidR="00E067B8" w:rsidRPr="00AF0A07" w:rsidRDefault="00E067B8" w:rsidP="00E067B8">
      <w:pPr>
        <w:spacing w:after="200"/>
        <w:ind w:left="720" w:hanging="720"/>
      </w:pPr>
      <w:proofErr w:type="gramStart"/>
      <w:r w:rsidRPr="00AF0A07">
        <w:t>National Reading Panel (2000).</w:t>
      </w:r>
      <w:proofErr w:type="gramEnd"/>
      <w:r w:rsidRPr="00AF0A07">
        <w:t xml:space="preserve"> </w:t>
      </w:r>
      <w:proofErr w:type="gramStart"/>
      <w:r w:rsidRPr="00AF0A07">
        <w:rPr>
          <w:rStyle w:val="Emphasis"/>
        </w:rPr>
        <w:t>Report of the National Reading Panel.</w:t>
      </w:r>
      <w:proofErr w:type="gramEnd"/>
      <w:r w:rsidRPr="00AF0A07">
        <w:rPr>
          <w:rStyle w:val="Emphasis"/>
        </w:rPr>
        <w:t xml:space="preserve"> Teaching children to read: An evidence-based assessment of the scientific research literature on reading and its implications for reading instruction</w:t>
      </w:r>
      <w:r w:rsidRPr="00AF0A07">
        <w:t xml:space="preserve"> (NIH Publication No. 00-4769). Washington, DC: U.S. Government Printing Office.</w:t>
      </w:r>
    </w:p>
    <w:p w:rsidR="00E067B8" w:rsidRPr="00AF0A07" w:rsidRDefault="00E067B8" w:rsidP="00E067B8">
      <w:pPr>
        <w:widowControl w:val="0"/>
        <w:spacing w:after="200"/>
        <w:ind w:left="720" w:hanging="720"/>
      </w:pPr>
      <w:proofErr w:type="gramStart"/>
      <w:r w:rsidRPr="00AF0A07">
        <w:t>National Research Council.</w:t>
      </w:r>
      <w:proofErr w:type="gramEnd"/>
      <w:r w:rsidRPr="00AF0A07">
        <w:t xml:space="preserve"> </w:t>
      </w:r>
      <w:proofErr w:type="gramStart"/>
      <w:r w:rsidRPr="00AF0A07">
        <w:t xml:space="preserve">(2002). </w:t>
      </w:r>
      <w:r w:rsidRPr="00AF0A07">
        <w:rPr>
          <w:i/>
        </w:rPr>
        <w:t>Scientific research in education</w:t>
      </w:r>
      <w:r w:rsidRPr="00AF0A07">
        <w:t>.</w:t>
      </w:r>
      <w:proofErr w:type="gramEnd"/>
      <w:r w:rsidRPr="00AF0A07">
        <w:t xml:space="preserve"> Washington, DC: National Academy Press.</w:t>
      </w:r>
    </w:p>
    <w:p w:rsidR="00E067B8" w:rsidRPr="00AF0A07" w:rsidRDefault="00E067B8" w:rsidP="00E067B8">
      <w:pPr>
        <w:widowControl w:val="0"/>
        <w:autoSpaceDE w:val="0"/>
        <w:autoSpaceDN w:val="0"/>
        <w:adjustRightInd w:val="0"/>
        <w:spacing w:after="200"/>
        <w:ind w:left="720" w:hanging="720"/>
      </w:pPr>
      <w:r w:rsidRPr="00AF0A07">
        <w:t xml:space="preserve">Nomi, </w:t>
      </w:r>
      <w:proofErr w:type="spellStart"/>
      <w:r w:rsidRPr="00AF0A07">
        <w:t>Takako</w:t>
      </w:r>
      <w:proofErr w:type="spellEnd"/>
      <w:r w:rsidRPr="00AF0A07">
        <w:t xml:space="preserve">. </w:t>
      </w:r>
      <w:proofErr w:type="gramStart"/>
      <w:r w:rsidRPr="00AF0A07">
        <w:t>(Forthcoming).</w:t>
      </w:r>
      <w:proofErr w:type="gramEnd"/>
      <w:r w:rsidRPr="00AF0A07">
        <w:t xml:space="preserve"> The Unintended Consequences of an Algebra-for-All Policy on High-Skill Students: Effects on Instructional Organization and Students' Academic Outcomes. </w:t>
      </w:r>
      <w:r w:rsidRPr="00AF0A07">
        <w:rPr>
          <w:i/>
        </w:rPr>
        <w:t>Educational Evaluation and Policy Analysis</w:t>
      </w:r>
      <w:r w:rsidRPr="00AF0A07">
        <w:t>, Jul 2012; vol. 0: 0162373712453869.</w:t>
      </w:r>
    </w:p>
    <w:p w:rsidR="00535824" w:rsidRDefault="00E067B8" w:rsidP="00535824">
      <w:pPr>
        <w:spacing w:after="200"/>
        <w:ind w:left="720" w:hanging="720"/>
      </w:pPr>
      <w:proofErr w:type="gramStart"/>
      <w:r w:rsidRPr="00AF0A07">
        <w:t>Nye, B., Konstantopoulos, S, &amp; Hedges, L.V. (2004).</w:t>
      </w:r>
      <w:proofErr w:type="gramEnd"/>
      <w:r w:rsidRPr="00AF0A07">
        <w:t xml:space="preserve"> How </w:t>
      </w:r>
      <w:proofErr w:type="gramStart"/>
      <w:r w:rsidRPr="00AF0A07">
        <w:t>Large</w:t>
      </w:r>
      <w:proofErr w:type="gramEnd"/>
      <w:r w:rsidRPr="00AF0A07">
        <w:t xml:space="preserve"> are Teacher Effects? </w:t>
      </w:r>
      <w:r w:rsidRPr="00AF0A07">
        <w:rPr>
          <w:i/>
          <w:iCs/>
        </w:rPr>
        <w:t xml:space="preserve">Educational Evaluation and Policy Analysis, 26, </w:t>
      </w:r>
      <w:r w:rsidRPr="00AF0A07">
        <w:t>237-257.</w:t>
      </w:r>
    </w:p>
    <w:p w:rsidR="00E067B8" w:rsidRPr="00AF0A07" w:rsidRDefault="00E067B8" w:rsidP="00535824">
      <w:pPr>
        <w:spacing w:after="200"/>
        <w:ind w:left="720" w:hanging="720"/>
      </w:pPr>
      <w:r w:rsidRPr="00AF0A07">
        <w:t xml:space="preserve">Oakley, A. (1998). </w:t>
      </w:r>
      <w:proofErr w:type="gramStart"/>
      <w:r w:rsidRPr="00AF0A07">
        <w:t>experimentation</w:t>
      </w:r>
      <w:proofErr w:type="gramEnd"/>
      <w:r w:rsidRPr="00AF0A07">
        <w:t xml:space="preserve"> and social interventions: A forgotten but important history. </w:t>
      </w:r>
      <w:r w:rsidRPr="00AF0A07">
        <w:rPr>
          <w:i/>
        </w:rPr>
        <w:t>British Medical Journal</w:t>
      </w:r>
      <w:r w:rsidRPr="00AF0A07">
        <w:t>, 317(7176), 1239-1242</w:t>
      </w:r>
    </w:p>
    <w:p w:rsidR="00E067B8" w:rsidRPr="00AF0A07" w:rsidRDefault="00E067B8" w:rsidP="00E067B8">
      <w:pPr>
        <w:widowControl w:val="0"/>
        <w:autoSpaceDE w:val="0"/>
        <w:autoSpaceDN w:val="0"/>
        <w:adjustRightInd w:val="0"/>
        <w:spacing w:after="200"/>
        <w:ind w:left="720" w:hanging="720"/>
      </w:pPr>
      <w:proofErr w:type="spellStart"/>
      <w:proofErr w:type="gramStart"/>
      <w:r w:rsidRPr="00AF0A07">
        <w:t>Olkin</w:t>
      </w:r>
      <w:proofErr w:type="spellEnd"/>
      <w:r w:rsidRPr="00AF0A07">
        <w:t>, I., &amp; Pratt, J. W. (1958).</w:t>
      </w:r>
      <w:proofErr w:type="gramEnd"/>
      <w:r w:rsidRPr="00AF0A07">
        <w:t xml:space="preserve"> </w:t>
      </w:r>
      <w:proofErr w:type="gramStart"/>
      <w:r w:rsidRPr="00AF0A07">
        <w:t>Unbiased estimation of certain correlation coefficients.</w:t>
      </w:r>
      <w:proofErr w:type="gramEnd"/>
      <w:r w:rsidRPr="00AF0A07">
        <w:t xml:space="preserve"> </w:t>
      </w:r>
      <w:r w:rsidRPr="00AF0A07">
        <w:rPr>
          <w:i/>
        </w:rPr>
        <w:t xml:space="preserve">Annals of Mathematical Statistics, 29, </w:t>
      </w:r>
      <w:r w:rsidRPr="00AF0A07">
        <w:t>201-211.</w:t>
      </w:r>
    </w:p>
    <w:p w:rsidR="00E067B8" w:rsidRPr="00AF0A07" w:rsidRDefault="00E067B8" w:rsidP="00E067B8">
      <w:pPr>
        <w:autoSpaceDE w:val="0"/>
        <w:autoSpaceDN w:val="0"/>
        <w:adjustRightInd w:val="0"/>
        <w:spacing w:after="200"/>
        <w:ind w:left="720" w:hanging="720"/>
      </w:pPr>
      <w:r w:rsidRPr="00AF0A07">
        <w:t xml:space="preserve">Pearl and </w:t>
      </w:r>
      <w:proofErr w:type="spellStart"/>
      <w:r w:rsidRPr="00AF0A07">
        <w:t>Bareinboim</w:t>
      </w:r>
      <w:proofErr w:type="spellEnd"/>
      <w:r w:rsidRPr="00AF0A07">
        <w:t xml:space="preserve">, Transportability across studies: A formal approach, (October 2010). </w:t>
      </w:r>
      <w:proofErr w:type="gramStart"/>
      <w:r w:rsidRPr="00AF0A07">
        <w:t xml:space="preserve">Retrieved from: </w:t>
      </w:r>
      <w:hyperlink r:id="rId138" w:history="1">
        <w:r w:rsidRPr="00AF0A07">
          <w:rPr>
            <w:rStyle w:val="Hyperlink"/>
          </w:rPr>
          <w:t>http://ftp.cs.ucla.edu/pub/stat_ser/r372.pdf</w:t>
        </w:r>
      </w:hyperlink>
      <w:r w:rsidRPr="00AF0A07">
        <w:t>.</w:t>
      </w:r>
      <w:proofErr w:type="gramEnd"/>
    </w:p>
    <w:p w:rsidR="00E067B8" w:rsidRPr="00AF0A07" w:rsidRDefault="00E067B8" w:rsidP="00E067B8">
      <w:pPr>
        <w:widowControl w:val="0"/>
        <w:autoSpaceDE w:val="0"/>
        <w:autoSpaceDN w:val="0"/>
        <w:adjustRightInd w:val="0"/>
        <w:spacing w:after="200"/>
        <w:ind w:left="720" w:hanging="720"/>
      </w:pPr>
      <w:r w:rsidRPr="00AF0A07">
        <w:t xml:space="preserve">Raudenbush, S. W. (2005). Learning from attempts to improve schooling: The contribution of methodological diversity. </w:t>
      </w:r>
      <w:r w:rsidRPr="00AF0A07">
        <w:rPr>
          <w:rStyle w:val="Emphasis"/>
        </w:rPr>
        <w:t>Educational Researcher</w:t>
      </w:r>
      <w:r w:rsidRPr="00AF0A07">
        <w:t xml:space="preserve">, </w:t>
      </w:r>
      <w:r w:rsidRPr="00AF0A07">
        <w:rPr>
          <w:i/>
        </w:rPr>
        <w:t>34</w:t>
      </w:r>
      <w:r w:rsidRPr="00AF0A07">
        <w:t>(5), 25-31.</w:t>
      </w:r>
    </w:p>
    <w:p w:rsidR="00E067B8" w:rsidRPr="00AF0A07" w:rsidRDefault="00E067B8" w:rsidP="00E067B8">
      <w:pPr>
        <w:widowControl w:val="0"/>
        <w:autoSpaceDE w:val="0"/>
        <w:autoSpaceDN w:val="0"/>
        <w:adjustRightInd w:val="0"/>
        <w:spacing w:after="200"/>
        <w:ind w:left="720" w:hanging="720"/>
      </w:pPr>
      <w:r w:rsidRPr="00AF0A07">
        <w:t xml:space="preserve">Reynolds, A. J. (1992). Grade retention and school adjustment: An explanatory analysis. </w:t>
      </w:r>
      <w:r w:rsidRPr="00AF0A07">
        <w:rPr>
          <w:i/>
        </w:rPr>
        <w:t xml:space="preserve">Educational Evaluation and Policy Analysis, 14 </w:t>
      </w:r>
      <w:r w:rsidRPr="00AF0A07">
        <w:t>(2), 101–121.</w:t>
      </w:r>
    </w:p>
    <w:p w:rsidR="00E067B8" w:rsidRPr="00AF0A07" w:rsidRDefault="00E067B8" w:rsidP="00E067B8">
      <w:pPr>
        <w:widowControl w:val="0"/>
        <w:autoSpaceDE w:val="0"/>
        <w:autoSpaceDN w:val="0"/>
        <w:adjustRightInd w:val="0"/>
        <w:spacing w:after="200"/>
        <w:ind w:left="720" w:hanging="720"/>
      </w:pPr>
      <w:proofErr w:type="gramStart"/>
      <w:r w:rsidRPr="00AF0A07">
        <w:lastRenderedPageBreak/>
        <w:t xml:space="preserve">Robins, J., </w:t>
      </w:r>
      <w:proofErr w:type="spellStart"/>
      <w:r w:rsidRPr="00AF0A07">
        <w:t>Rotnisky</w:t>
      </w:r>
      <w:proofErr w:type="spellEnd"/>
      <w:r w:rsidRPr="00AF0A07">
        <w:t xml:space="preserve">, A., and </w:t>
      </w:r>
      <w:proofErr w:type="spellStart"/>
      <w:r w:rsidRPr="00AF0A07">
        <w:t>Scharfstein</w:t>
      </w:r>
      <w:proofErr w:type="spellEnd"/>
      <w:r w:rsidRPr="00AF0A07">
        <w:t>, D. (2000).</w:t>
      </w:r>
      <w:proofErr w:type="gramEnd"/>
      <w:r w:rsidRPr="00AF0A07">
        <w:t xml:space="preserve"> </w:t>
      </w:r>
      <w:proofErr w:type="gramStart"/>
      <w:r w:rsidRPr="00AF0A07">
        <w:t>Sensitivity analysis for selection bias and unmeasured confounding in missing data and causal inference models.</w:t>
      </w:r>
      <w:proofErr w:type="gramEnd"/>
      <w:r w:rsidRPr="00AF0A07">
        <w:t xml:space="preserve"> In </w:t>
      </w:r>
      <w:proofErr w:type="spellStart"/>
      <w:r w:rsidRPr="00AF0A07">
        <w:t>Hallorn</w:t>
      </w:r>
      <w:proofErr w:type="spellEnd"/>
      <w:r w:rsidRPr="00AF0A07">
        <w:t xml:space="preserve">, E. (Ed.), </w:t>
      </w:r>
      <w:r w:rsidRPr="00AF0A07">
        <w:rPr>
          <w:i/>
        </w:rPr>
        <w:t>Statistical Models in Epidemiology</w:t>
      </w:r>
      <w:r w:rsidRPr="00AF0A07">
        <w:t xml:space="preserve"> (pp: 1-95). New York: Springer. </w:t>
      </w:r>
    </w:p>
    <w:p w:rsidR="00E067B8" w:rsidRPr="00AF0A07" w:rsidRDefault="00E067B8" w:rsidP="00E067B8">
      <w:pPr>
        <w:widowControl w:val="0"/>
        <w:autoSpaceDE w:val="0"/>
        <w:autoSpaceDN w:val="0"/>
        <w:adjustRightInd w:val="0"/>
        <w:spacing w:after="200"/>
        <w:ind w:left="720" w:hanging="720"/>
      </w:pPr>
      <w:proofErr w:type="gramStart"/>
      <w:r w:rsidRPr="00AF0A07">
        <w:t xml:space="preserve">Roderick, M., </w:t>
      </w:r>
      <w:proofErr w:type="spellStart"/>
      <w:r w:rsidRPr="00AF0A07">
        <w:t>Bryk</w:t>
      </w:r>
      <w:proofErr w:type="spellEnd"/>
      <w:r w:rsidRPr="00AF0A07">
        <w:t xml:space="preserve">, A. S., Jacobs, B. A., Easton, J. Q., and </w:t>
      </w:r>
      <w:proofErr w:type="spellStart"/>
      <w:r w:rsidRPr="00AF0A07">
        <w:t>Allensworth</w:t>
      </w:r>
      <w:proofErr w:type="spellEnd"/>
      <w:r w:rsidRPr="00AF0A07">
        <w:t>, E. (1999).</w:t>
      </w:r>
      <w:proofErr w:type="gramEnd"/>
      <w:r w:rsidRPr="00AF0A07">
        <w:t xml:space="preserve"> </w:t>
      </w:r>
      <w:r w:rsidRPr="00AF0A07">
        <w:rPr>
          <w:i/>
        </w:rPr>
        <w:t xml:space="preserve">Ending social promotion: Results from the first two years. </w:t>
      </w:r>
      <w:r w:rsidRPr="00AF0A07">
        <w:t>Chicago: Consortium on Chicago School Research.</w:t>
      </w:r>
    </w:p>
    <w:p w:rsidR="00E067B8" w:rsidRPr="00AF0A07" w:rsidRDefault="00E067B8" w:rsidP="00E067B8">
      <w:pPr>
        <w:widowControl w:val="0"/>
        <w:spacing w:after="200"/>
        <w:ind w:left="720" w:hanging="720"/>
      </w:pPr>
      <w:r w:rsidRPr="00AF0A07">
        <w:t xml:space="preserve">Rosenbaum, P. R. (1986). </w:t>
      </w:r>
      <w:proofErr w:type="gramStart"/>
      <w:r w:rsidRPr="00AF0A07">
        <w:t>Dropping out of high school in the United States: An observational study.</w:t>
      </w:r>
      <w:proofErr w:type="gramEnd"/>
      <w:r w:rsidRPr="00AF0A07">
        <w:t xml:space="preserve"> </w:t>
      </w:r>
      <w:r w:rsidRPr="00AF0A07">
        <w:rPr>
          <w:i/>
        </w:rPr>
        <w:t>Journal of Educational Statistics</w:t>
      </w:r>
      <w:r w:rsidRPr="00AF0A07">
        <w:t xml:space="preserve">, </w:t>
      </w:r>
      <w:r w:rsidRPr="00AF0A07">
        <w:rPr>
          <w:i/>
        </w:rPr>
        <w:t>11</w:t>
      </w:r>
      <w:r w:rsidRPr="00AF0A07">
        <w:t xml:space="preserve">, 207-224. </w:t>
      </w:r>
    </w:p>
    <w:p w:rsidR="00E067B8" w:rsidRPr="00AF0A07" w:rsidRDefault="00E067B8" w:rsidP="00E067B8">
      <w:pPr>
        <w:widowControl w:val="0"/>
        <w:autoSpaceDE w:val="0"/>
        <w:autoSpaceDN w:val="0"/>
        <w:adjustRightInd w:val="0"/>
        <w:spacing w:after="200"/>
        <w:ind w:left="720" w:hanging="720"/>
      </w:pPr>
      <w:r w:rsidRPr="00AF0A07">
        <w:t xml:space="preserve">Rosenbaum, P. R. (2002). </w:t>
      </w:r>
      <w:proofErr w:type="gramStart"/>
      <w:r w:rsidRPr="00AF0A07">
        <w:rPr>
          <w:i/>
        </w:rPr>
        <w:t>Observational studies</w:t>
      </w:r>
      <w:r w:rsidRPr="00AF0A07">
        <w:t>.</w:t>
      </w:r>
      <w:proofErr w:type="gramEnd"/>
      <w:r w:rsidRPr="00AF0A07">
        <w:t xml:space="preserve"> New York: Springer.</w:t>
      </w:r>
    </w:p>
    <w:p w:rsidR="00E067B8" w:rsidRPr="00AF0A07" w:rsidRDefault="00E067B8" w:rsidP="00E067B8">
      <w:pPr>
        <w:spacing w:after="200"/>
        <w:ind w:left="720" w:hanging="720"/>
        <w:rPr>
          <w:color w:val="000000"/>
        </w:rPr>
      </w:pPr>
      <w:proofErr w:type="gramStart"/>
      <w:r w:rsidRPr="00AF0A07">
        <w:rPr>
          <w:color w:val="000000"/>
        </w:rPr>
        <w:t>Rosenbaum, P. R., and Rubin, D. B. (1983).</w:t>
      </w:r>
      <w:proofErr w:type="gramEnd"/>
      <w:r w:rsidRPr="00AF0A07">
        <w:rPr>
          <w:color w:val="000000"/>
        </w:rPr>
        <w:t xml:space="preserve"> </w:t>
      </w:r>
      <w:proofErr w:type="gramStart"/>
      <w:r w:rsidRPr="00AF0A07">
        <w:rPr>
          <w:color w:val="000000"/>
        </w:rPr>
        <w:t>Assessing sensitivity to an unobserved binary covariate in an observational study with binary outcome.</w:t>
      </w:r>
      <w:proofErr w:type="gramEnd"/>
      <w:r w:rsidRPr="00AF0A07">
        <w:rPr>
          <w:color w:val="000000"/>
        </w:rPr>
        <w:t xml:space="preserve"> </w:t>
      </w:r>
      <w:r w:rsidRPr="00AF0A07">
        <w:rPr>
          <w:i/>
          <w:color w:val="000000"/>
        </w:rPr>
        <w:t>Journal of the Royal Statistical Society (Series B), 45</w:t>
      </w:r>
      <w:r w:rsidRPr="00AF0A07">
        <w:rPr>
          <w:color w:val="000000"/>
        </w:rPr>
        <w:t>, 212-218.</w:t>
      </w:r>
    </w:p>
    <w:p w:rsidR="00E067B8" w:rsidRPr="00AF0A07" w:rsidRDefault="00E067B8" w:rsidP="00E067B8">
      <w:pPr>
        <w:pStyle w:val="NormalWeb"/>
        <w:spacing w:before="0" w:beforeAutospacing="0" w:after="200" w:afterAutospacing="0"/>
        <w:ind w:left="720" w:hanging="720"/>
        <w:rPr>
          <w:color w:val="auto"/>
        </w:rPr>
      </w:pPr>
      <w:proofErr w:type="gramStart"/>
      <w:r w:rsidRPr="00AF0A07">
        <w:rPr>
          <w:color w:val="auto"/>
        </w:rPr>
        <w:t>Rubin, D. B. (1974).</w:t>
      </w:r>
      <w:proofErr w:type="gramEnd"/>
      <w:r w:rsidRPr="00AF0A07">
        <w:rPr>
          <w:color w:val="auto"/>
        </w:rPr>
        <w:t xml:space="preserve"> </w:t>
      </w:r>
      <w:proofErr w:type="gramStart"/>
      <w:r w:rsidRPr="00AF0A07">
        <w:rPr>
          <w:color w:val="auto"/>
        </w:rPr>
        <w:t xml:space="preserve">Estimating causal effects of treatments in randomized and </w:t>
      </w:r>
      <w:proofErr w:type="spellStart"/>
      <w:r w:rsidRPr="00AF0A07">
        <w:rPr>
          <w:color w:val="auto"/>
        </w:rPr>
        <w:t>non_randomized</w:t>
      </w:r>
      <w:proofErr w:type="spellEnd"/>
      <w:r w:rsidRPr="00AF0A07">
        <w:rPr>
          <w:color w:val="auto"/>
        </w:rPr>
        <w:t xml:space="preserve"> studies.</w:t>
      </w:r>
      <w:proofErr w:type="gramEnd"/>
      <w:r w:rsidRPr="00AF0A07">
        <w:rPr>
          <w:color w:val="auto"/>
        </w:rPr>
        <w:t xml:space="preserve"> </w:t>
      </w:r>
      <w:r w:rsidRPr="00AF0A07">
        <w:rPr>
          <w:i/>
          <w:color w:val="auto"/>
        </w:rPr>
        <w:t>Journal of Educational Psychology, 66,</w:t>
      </w:r>
      <w:r w:rsidRPr="00AF0A07">
        <w:rPr>
          <w:color w:val="auto"/>
        </w:rPr>
        <w:t xml:space="preserve"> 688-701.</w:t>
      </w:r>
    </w:p>
    <w:p w:rsidR="00E067B8" w:rsidRPr="00AF0A07" w:rsidRDefault="00523E1E" w:rsidP="00E067B8">
      <w:pPr>
        <w:pStyle w:val="NormalWeb"/>
        <w:spacing w:before="0" w:beforeAutospacing="0" w:after="200" w:afterAutospacing="0"/>
        <w:ind w:left="720" w:hanging="720"/>
      </w:pPr>
      <w:r w:rsidRPr="00AF0A07">
        <w:rPr>
          <w:lang w:val="en-CA"/>
        </w:rPr>
        <w:fldChar w:fldCharType="begin"/>
      </w:r>
      <w:r w:rsidR="00E067B8" w:rsidRPr="00AF0A07">
        <w:rPr>
          <w:lang w:val="en-CA"/>
        </w:rPr>
        <w:instrText xml:space="preserve"> SEQ CHAPTER \h \r 1</w:instrText>
      </w:r>
      <w:r w:rsidRPr="00AF0A07">
        <w:rPr>
          <w:lang w:val="en-CA"/>
        </w:rPr>
        <w:fldChar w:fldCharType="end"/>
      </w:r>
      <w:proofErr w:type="gramStart"/>
      <w:r w:rsidR="00E067B8" w:rsidRPr="00AF0A07">
        <w:t>Rubin, D. B. (1986).</w:t>
      </w:r>
      <w:proofErr w:type="gramEnd"/>
      <w:r w:rsidR="00E067B8" w:rsidRPr="00AF0A07">
        <w:t xml:space="preserve"> Which ifs have causal answers?  Discussion of Holland's "Statistics and causal inference.</w:t>
      </w:r>
      <w:proofErr w:type="gramStart"/>
      <w:r w:rsidR="00E067B8" w:rsidRPr="00AF0A07">
        <w:t>".</w:t>
      </w:r>
      <w:proofErr w:type="gramEnd"/>
      <w:r w:rsidR="00E067B8" w:rsidRPr="00AF0A07">
        <w:t xml:space="preserve"> </w:t>
      </w:r>
      <w:proofErr w:type="gramStart"/>
      <w:r w:rsidR="00E067B8" w:rsidRPr="00AF0A07">
        <w:t>Journal of American Statistical Association, 83, 396.</w:t>
      </w:r>
      <w:proofErr w:type="gramEnd"/>
    </w:p>
    <w:p w:rsidR="00E067B8" w:rsidRPr="00AF0A07" w:rsidRDefault="00E067B8" w:rsidP="00E067B8">
      <w:pPr>
        <w:pStyle w:val="NormalWeb"/>
        <w:spacing w:before="0" w:beforeAutospacing="0" w:after="200" w:afterAutospacing="0"/>
        <w:ind w:left="720" w:hanging="720"/>
      </w:pPr>
      <w:proofErr w:type="gramStart"/>
      <w:r w:rsidRPr="00AF0A07">
        <w:t>Rubin, D. B. (1990).</w:t>
      </w:r>
      <w:proofErr w:type="gramEnd"/>
      <w:r w:rsidRPr="00AF0A07">
        <w:t xml:space="preserve"> </w:t>
      </w:r>
      <w:proofErr w:type="gramStart"/>
      <w:r w:rsidRPr="00AF0A07">
        <w:t>Formal Modes of Statistical Inference for Causal Effects.</w:t>
      </w:r>
      <w:proofErr w:type="gramEnd"/>
      <w:r w:rsidRPr="00AF0A07">
        <w:t xml:space="preserve"> Journal of Statistical Planning and Inference, 25, 279-292.</w:t>
      </w:r>
    </w:p>
    <w:p w:rsidR="00E067B8" w:rsidRPr="00AF0A07" w:rsidRDefault="00E067B8" w:rsidP="00E067B8">
      <w:pPr>
        <w:widowControl w:val="0"/>
        <w:spacing w:after="200"/>
        <w:ind w:left="720" w:hanging="720"/>
      </w:pPr>
      <w:proofErr w:type="gramStart"/>
      <w:r w:rsidRPr="00AF0A07">
        <w:t>Rubin, D. B. (2004).</w:t>
      </w:r>
      <w:proofErr w:type="gramEnd"/>
      <w:r w:rsidRPr="00AF0A07">
        <w:t xml:space="preserve"> </w:t>
      </w:r>
      <w:proofErr w:type="gramStart"/>
      <w:r w:rsidRPr="00AF0A07">
        <w:t>Teaching statistical inference for causal effects in experiments and</w:t>
      </w:r>
      <w:r w:rsidRPr="00AF0A07">
        <w:rPr>
          <w:color w:val="FF0000"/>
        </w:rPr>
        <w:t xml:space="preserve"> </w:t>
      </w:r>
      <w:r w:rsidRPr="00AF0A07">
        <w:t>observational studies.</w:t>
      </w:r>
      <w:proofErr w:type="gramEnd"/>
      <w:r w:rsidRPr="00AF0A07">
        <w:t xml:space="preserve"> </w:t>
      </w:r>
      <w:r w:rsidRPr="00AF0A07">
        <w:rPr>
          <w:i/>
        </w:rPr>
        <w:t>Journal of Educational and Behavioral Statistics, 29</w:t>
      </w:r>
      <w:r w:rsidRPr="00AF0A07">
        <w:t>(3), 343-368.</w:t>
      </w:r>
    </w:p>
    <w:p w:rsidR="00E067B8" w:rsidRPr="00AF0A07" w:rsidRDefault="00E067B8" w:rsidP="00E067B8">
      <w:pPr>
        <w:widowControl w:val="0"/>
        <w:spacing w:after="200"/>
        <w:ind w:left="720" w:hanging="720"/>
      </w:pPr>
      <w:r w:rsidRPr="00AF0A07">
        <w:t xml:space="preserve">Saunders, William M., </w:t>
      </w:r>
      <w:proofErr w:type="spellStart"/>
      <w:r w:rsidRPr="00AF0A07">
        <w:t>Marcelletti</w:t>
      </w:r>
      <w:proofErr w:type="spellEnd"/>
      <w:r w:rsidRPr="00AF0A07">
        <w:t xml:space="preserve">, David J. (Forthcoming). The Gap That Can't Go Away: The Catch-22 of Reclassification in Monitoring the Progress of English Learners. </w:t>
      </w:r>
      <w:r w:rsidRPr="00AF0A07">
        <w:rPr>
          <w:i/>
        </w:rPr>
        <w:t>Educational Evaluation and Policy Analysis</w:t>
      </w:r>
      <w:r w:rsidRPr="00AF0A07">
        <w:t>, Nov 2012; vol. 0: 0162373712461849</w:t>
      </w:r>
    </w:p>
    <w:p w:rsidR="00E067B8" w:rsidRPr="00AF0A07" w:rsidRDefault="00E067B8" w:rsidP="00E067B8">
      <w:pPr>
        <w:widowControl w:val="0"/>
        <w:spacing w:after="200"/>
        <w:ind w:left="720" w:hanging="720"/>
      </w:pPr>
      <w:proofErr w:type="spellStart"/>
      <w:r w:rsidRPr="00AF0A07">
        <w:t>Scharfstein</w:t>
      </w:r>
      <w:proofErr w:type="spellEnd"/>
      <w:r w:rsidRPr="00AF0A07">
        <w:t>, D. A. I</w:t>
      </w:r>
      <w:proofErr w:type="gramStart"/>
      <w:r w:rsidRPr="00AF0A07">
        <w:t>.(</w:t>
      </w:r>
      <w:proofErr w:type="gramEnd"/>
      <w:r w:rsidRPr="00AF0A07">
        <w:t xml:space="preserve">2002). </w:t>
      </w:r>
      <w:proofErr w:type="gramStart"/>
      <w:r w:rsidRPr="00AF0A07">
        <w:t>Generalized additive selection models for the analysis of studies with potentially non-ignorable missing data.</w:t>
      </w:r>
      <w:proofErr w:type="gramEnd"/>
      <w:r w:rsidRPr="00AF0A07">
        <w:t xml:space="preserve"> </w:t>
      </w:r>
      <w:r w:rsidRPr="00AF0A07">
        <w:rPr>
          <w:i/>
        </w:rPr>
        <w:t>Biometrics</w:t>
      </w:r>
      <w:r w:rsidRPr="00AF0A07">
        <w:t xml:space="preserve">, </w:t>
      </w:r>
      <w:proofErr w:type="spellStart"/>
      <w:r w:rsidRPr="00AF0A07">
        <w:t>Vol</w:t>
      </w:r>
      <w:proofErr w:type="spellEnd"/>
      <w:r w:rsidRPr="00AF0A07">
        <w:t xml:space="preserve"> 59, 601-613.</w:t>
      </w:r>
    </w:p>
    <w:p w:rsidR="00E067B8" w:rsidRPr="00AF0A07" w:rsidRDefault="00E067B8" w:rsidP="00E067B8">
      <w:pPr>
        <w:widowControl w:val="0"/>
        <w:spacing w:after="200"/>
        <w:ind w:left="720" w:hanging="720"/>
      </w:pPr>
      <w:proofErr w:type="gramStart"/>
      <w:r w:rsidRPr="00AF0A07">
        <w:rPr>
          <w:rStyle w:val="HTMLTypewriter"/>
          <w:rFonts w:ascii="Times New Roman" w:eastAsia="SimSun" w:hAnsi="Times New Roman" w:cs="Times New Roman"/>
          <w:sz w:val="24"/>
          <w:szCs w:val="24"/>
        </w:rPr>
        <w:t xml:space="preserve">Schneider, B.M. </w:t>
      </w:r>
      <w:proofErr w:type="spellStart"/>
      <w:r w:rsidRPr="00AF0A07">
        <w:rPr>
          <w:rStyle w:val="HTMLTypewriter"/>
          <w:rFonts w:ascii="Times New Roman" w:eastAsia="SimSun" w:hAnsi="Times New Roman" w:cs="Times New Roman"/>
          <w:sz w:val="24"/>
          <w:szCs w:val="24"/>
        </w:rPr>
        <w:t>Carnoy</w:t>
      </w:r>
      <w:proofErr w:type="spellEnd"/>
      <w:r w:rsidRPr="00AF0A07">
        <w:rPr>
          <w:rStyle w:val="HTMLTypewriter"/>
          <w:rFonts w:ascii="Times New Roman" w:eastAsia="SimSun" w:hAnsi="Times New Roman" w:cs="Times New Roman"/>
          <w:sz w:val="24"/>
          <w:szCs w:val="24"/>
        </w:rPr>
        <w:t xml:space="preserve">, J. Kilpatrick, W.H. Schmidt, &amp; R.J. </w:t>
      </w:r>
      <w:proofErr w:type="spellStart"/>
      <w:r w:rsidRPr="00AF0A07">
        <w:rPr>
          <w:rStyle w:val="HTMLTypewriter"/>
          <w:rFonts w:ascii="Times New Roman" w:eastAsia="SimSun" w:hAnsi="Times New Roman" w:cs="Times New Roman"/>
          <w:sz w:val="24"/>
          <w:szCs w:val="24"/>
        </w:rPr>
        <w:t>Shavelson</w:t>
      </w:r>
      <w:proofErr w:type="spellEnd"/>
      <w:r w:rsidRPr="00AF0A07">
        <w:rPr>
          <w:rStyle w:val="HTMLTypewriter"/>
          <w:rFonts w:ascii="Times New Roman" w:eastAsia="SimSun" w:hAnsi="Times New Roman" w:cs="Times New Roman"/>
          <w:sz w:val="24"/>
          <w:szCs w:val="24"/>
        </w:rPr>
        <w:t>.</w:t>
      </w:r>
      <w:proofErr w:type="gramEnd"/>
      <w:r w:rsidRPr="00AF0A07">
        <w:rPr>
          <w:rStyle w:val="HTMLTypewriter"/>
          <w:rFonts w:ascii="Times New Roman" w:eastAsia="SimSun" w:hAnsi="Times New Roman" w:cs="Times New Roman"/>
          <w:sz w:val="24"/>
          <w:szCs w:val="24"/>
        </w:rPr>
        <w:t xml:space="preserve"> (2007). </w:t>
      </w:r>
      <w:r w:rsidRPr="00AF0A07">
        <w:rPr>
          <w:rStyle w:val="HTMLTypewriter"/>
          <w:rFonts w:ascii="Times New Roman" w:eastAsia="SimSun" w:hAnsi="Times New Roman" w:cs="Times New Roman"/>
          <w:i/>
          <w:sz w:val="24"/>
          <w:szCs w:val="24"/>
        </w:rPr>
        <w:t>Estimating Causal Effects Using Experimental and Observational Designs</w:t>
      </w:r>
      <w:r w:rsidRPr="00AF0A07">
        <w:rPr>
          <w:rStyle w:val="HTMLTypewriter"/>
          <w:rFonts w:ascii="Times New Roman" w:eastAsia="SimSun" w:hAnsi="Times New Roman" w:cs="Times New Roman"/>
          <w:sz w:val="24"/>
          <w:szCs w:val="24"/>
        </w:rPr>
        <w:t xml:space="preserve">. </w:t>
      </w:r>
      <w:proofErr w:type="gramStart"/>
      <w:r w:rsidRPr="00AF0A07">
        <w:rPr>
          <w:rStyle w:val="HTMLTypewriter"/>
          <w:rFonts w:ascii="Times New Roman" w:eastAsia="SimSun" w:hAnsi="Times New Roman" w:cs="Times New Roman"/>
          <w:sz w:val="24"/>
          <w:szCs w:val="24"/>
        </w:rPr>
        <w:t xml:space="preserve">AERA, publisher's information and FREE download at </w:t>
      </w:r>
      <w:r w:rsidRPr="00AF0A07">
        <w:rPr>
          <w:rStyle w:val="HTMLTypewriter"/>
          <w:rFonts w:ascii="Times New Roman" w:eastAsia="SimSun" w:hAnsi="Times New Roman" w:cs="Times New Roman"/>
          <w:color w:val="000000"/>
          <w:sz w:val="24"/>
          <w:szCs w:val="24"/>
        </w:rPr>
        <w:t>&lt;</w:t>
      </w:r>
      <w:hyperlink r:id="rId139" w:history="1">
        <w:r w:rsidRPr="00AF0A07">
          <w:rPr>
            <w:rStyle w:val="Hyperlink"/>
            <w:color w:val="000000"/>
          </w:rPr>
          <w:t>http://www.aera.net/publications/Default.aspx?menu_id=46&amp;id=3360</w:t>
        </w:r>
      </w:hyperlink>
      <w:r w:rsidRPr="00AF0A07">
        <w:rPr>
          <w:rStyle w:val="HTMLTypewriter"/>
          <w:rFonts w:ascii="Times New Roman" w:eastAsia="SimSun" w:hAnsi="Times New Roman" w:cs="Times New Roman"/>
          <w:color w:val="000000"/>
          <w:sz w:val="24"/>
          <w:szCs w:val="24"/>
        </w:rPr>
        <w:t>&gt;.</w:t>
      </w:r>
      <w:proofErr w:type="gramEnd"/>
    </w:p>
    <w:p w:rsidR="00E067B8" w:rsidRPr="00AF0A07" w:rsidRDefault="00E067B8" w:rsidP="00E067B8">
      <w:pPr>
        <w:widowControl w:val="0"/>
        <w:autoSpaceDE w:val="0"/>
        <w:autoSpaceDN w:val="0"/>
        <w:adjustRightInd w:val="0"/>
        <w:spacing w:after="200"/>
        <w:ind w:left="720" w:hanging="720"/>
      </w:pPr>
      <w:r w:rsidRPr="00AF0A07">
        <w:rPr>
          <w:lang w:val="de-DE"/>
        </w:rPr>
        <w:t xml:space="preserve">Schweinhart, L. J., Barnes, H. V., &amp; Weikart, D. P. (with Barnett, W. S., &amp; Epstein, A. S.). </w:t>
      </w:r>
      <w:r w:rsidRPr="00AF0A07">
        <w:t xml:space="preserve">(1993). </w:t>
      </w:r>
      <w:proofErr w:type="gramStart"/>
      <w:r w:rsidRPr="00AF0A07">
        <w:rPr>
          <w:i/>
        </w:rPr>
        <w:t>Significant</w:t>
      </w:r>
      <w:proofErr w:type="gramEnd"/>
      <w:r w:rsidRPr="00AF0A07">
        <w:rPr>
          <w:i/>
        </w:rPr>
        <w:t xml:space="preserve"> benefits: The high/scope Perry Preschool study through age 27</w:t>
      </w:r>
      <w:r w:rsidRPr="00AF0A07">
        <w:t>. Ypsilanti, MI: High/Scope Press.</w:t>
      </w:r>
    </w:p>
    <w:p w:rsidR="00E067B8" w:rsidRPr="00AF0A07" w:rsidRDefault="00E067B8" w:rsidP="00E067B8">
      <w:pPr>
        <w:spacing w:after="200"/>
        <w:ind w:left="720" w:hanging="720"/>
      </w:pPr>
      <w:proofErr w:type="gramStart"/>
      <w:r w:rsidRPr="00AF0A07">
        <w:t>Shadish, W. R., Cook, T. D., and Campbell, D. T. (2002).</w:t>
      </w:r>
      <w:proofErr w:type="gramEnd"/>
      <w:r w:rsidRPr="00AF0A07">
        <w:t xml:space="preserve"> </w:t>
      </w:r>
      <w:proofErr w:type="gramStart"/>
      <w:r w:rsidRPr="00AF0A07">
        <w:rPr>
          <w:i/>
        </w:rPr>
        <w:t xml:space="preserve">Experimental and </w:t>
      </w:r>
      <w:proofErr w:type="spellStart"/>
      <w:r w:rsidRPr="00AF0A07">
        <w:rPr>
          <w:i/>
        </w:rPr>
        <w:t>Quais</w:t>
      </w:r>
      <w:proofErr w:type="spellEnd"/>
      <w:r w:rsidRPr="00AF0A07">
        <w:rPr>
          <w:i/>
        </w:rPr>
        <w:t>-Experimental Designs for Generalized Causal Inference.</w:t>
      </w:r>
      <w:proofErr w:type="gramEnd"/>
      <w:r w:rsidRPr="00AF0A07">
        <w:t xml:space="preserve">  New York: Houghton Mifflin.</w:t>
      </w:r>
    </w:p>
    <w:p w:rsidR="00E067B8" w:rsidRPr="00AF0A07" w:rsidRDefault="00E067B8" w:rsidP="00E067B8">
      <w:pPr>
        <w:spacing w:after="200"/>
        <w:ind w:left="720" w:hanging="720"/>
      </w:pPr>
      <w:proofErr w:type="gramStart"/>
      <w:r w:rsidRPr="00AF0A07">
        <w:lastRenderedPageBreak/>
        <w:t>Shadish, W. R., Clark, M. H., &amp; Steiner, P. M. (2008).</w:t>
      </w:r>
      <w:proofErr w:type="gramEnd"/>
      <w:r w:rsidRPr="00AF0A07">
        <w:t xml:space="preserve"> Can nonrandomized experiments yield accurate answers? </w:t>
      </w:r>
      <w:proofErr w:type="gramStart"/>
      <w:r w:rsidRPr="00AF0A07">
        <w:t>A randomized experiment comparing random to nonrandom assignment.</w:t>
      </w:r>
      <w:proofErr w:type="gramEnd"/>
      <w:r w:rsidRPr="00AF0A07">
        <w:t xml:space="preserve"> </w:t>
      </w:r>
      <w:r w:rsidRPr="00AF0A07">
        <w:rPr>
          <w:i/>
        </w:rPr>
        <w:t>Journal of the American Statistical Association</w:t>
      </w:r>
      <w:r w:rsidRPr="00AF0A07">
        <w:t>, 103(484), 1334-1344.</w:t>
      </w:r>
    </w:p>
    <w:p w:rsidR="00E067B8" w:rsidRPr="00AF0A07" w:rsidRDefault="00E067B8" w:rsidP="00E067B8">
      <w:pPr>
        <w:spacing w:after="200"/>
        <w:ind w:left="720" w:hanging="720"/>
      </w:pPr>
      <w:proofErr w:type="spellStart"/>
      <w:r w:rsidRPr="00AF0A07">
        <w:t>Shager</w:t>
      </w:r>
      <w:proofErr w:type="spellEnd"/>
      <w:r w:rsidRPr="00AF0A07">
        <w:t xml:space="preserve">, Hilary M., Schindler, Holly S., Magnuson, Katherine A., Duncan, Greg J., Yoshikawa, </w:t>
      </w:r>
      <w:proofErr w:type="spellStart"/>
      <w:r w:rsidRPr="00AF0A07">
        <w:t>Hirokazu</w:t>
      </w:r>
      <w:proofErr w:type="spellEnd"/>
      <w:r w:rsidRPr="00AF0A07">
        <w:t xml:space="preserve">, Hart, Cassandra M. D. (Forthcoming). Can Research Design Explain Variation in Head Start Research Results? A Meta-Analysis of Cognitive and Achievement </w:t>
      </w:r>
      <w:proofErr w:type="spellStart"/>
      <w:r w:rsidRPr="00AF0A07">
        <w:t>Outcomes.</w:t>
      </w:r>
      <w:r w:rsidRPr="00AF0A07">
        <w:rPr>
          <w:i/>
        </w:rPr>
        <w:t>Educational</w:t>
      </w:r>
      <w:proofErr w:type="spellEnd"/>
      <w:r w:rsidRPr="00AF0A07">
        <w:rPr>
          <w:i/>
        </w:rPr>
        <w:t xml:space="preserve"> Evaluation and Policy Analysis</w:t>
      </w:r>
      <w:r w:rsidRPr="00AF0A07">
        <w:t>, Nov 2012; vol. 0: 0162373712462453</w:t>
      </w:r>
    </w:p>
    <w:p w:rsidR="00E067B8" w:rsidRPr="00AF0A07" w:rsidRDefault="00E067B8" w:rsidP="00E067B8">
      <w:pPr>
        <w:widowControl w:val="0"/>
        <w:spacing w:after="200"/>
        <w:ind w:left="720" w:hanging="720"/>
      </w:pPr>
      <w:proofErr w:type="gramStart"/>
      <w:r w:rsidRPr="00AF0A07">
        <w:t>Shepard, L. A., and Smith, M. L. (1989).</w:t>
      </w:r>
      <w:proofErr w:type="gramEnd"/>
      <w:r w:rsidRPr="00AF0A07">
        <w:t xml:space="preserve"> </w:t>
      </w:r>
      <w:proofErr w:type="gramStart"/>
      <w:r w:rsidRPr="00AF0A07">
        <w:rPr>
          <w:i/>
        </w:rPr>
        <w:t>Flunking grades</w:t>
      </w:r>
      <w:r w:rsidRPr="00AF0A07">
        <w:t>.</w:t>
      </w:r>
      <w:proofErr w:type="gramEnd"/>
      <w:r w:rsidRPr="00AF0A07">
        <w:t xml:space="preserve"> New York: </w:t>
      </w:r>
      <w:proofErr w:type="spellStart"/>
      <w:r w:rsidRPr="00AF0A07">
        <w:t>Falmer</w:t>
      </w:r>
      <w:proofErr w:type="spellEnd"/>
      <w:r w:rsidRPr="00AF0A07">
        <w:t xml:space="preserve"> Press.</w:t>
      </w:r>
    </w:p>
    <w:p w:rsidR="00E067B8" w:rsidRPr="00AF0A07" w:rsidRDefault="00E067B8" w:rsidP="00E067B8">
      <w:pPr>
        <w:widowControl w:val="0"/>
        <w:spacing w:after="200"/>
        <w:ind w:left="720" w:hanging="720"/>
        <w:rPr>
          <w:lang w:val="en-CA"/>
        </w:rPr>
      </w:pPr>
      <w:proofErr w:type="gramStart"/>
      <w:r w:rsidRPr="00AF0A07">
        <w:t>Shepard, L. A., Smith, M. L., and Marion, S. F. (1998).</w:t>
      </w:r>
      <w:proofErr w:type="gramEnd"/>
      <w:r w:rsidRPr="00AF0A07">
        <w:t xml:space="preserve"> On the success of failure: A rejoinder to Alexander. </w:t>
      </w:r>
      <w:r w:rsidRPr="00AF0A07">
        <w:rPr>
          <w:i/>
        </w:rPr>
        <w:t>Psychology in the Schools, 35</w:t>
      </w:r>
      <w:r w:rsidRPr="00AF0A07">
        <w:t>, 404-406.</w:t>
      </w:r>
      <w:r w:rsidRPr="00AF0A07">
        <w:rPr>
          <w:lang w:val="en-CA"/>
        </w:rPr>
        <w:t xml:space="preserve"> </w:t>
      </w:r>
    </w:p>
    <w:p w:rsidR="00E067B8" w:rsidRPr="00AF0A07" w:rsidRDefault="00E067B8" w:rsidP="00E067B8">
      <w:pPr>
        <w:widowControl w:val="0"/>
        <w:spacing w:after="200"/>
        <w:ind w:left="720" w:hanging="720"/>
      </w:pPr>
      <w:proofErr w:type="spellStart"/>
      <w:proofErr w:type="gramStart"/>
      <w:r w:rsidRPr="00AF0A07">
        <w:t>Slavin</w:t>
      </w:r>
      <w:proofErr w:type="spellEnd"/>
      <w:r w:rsidRPr="00AF0A07">
        <w:t>, R. E. (2008).</w:t>
      </w:r>
      <w:proofErr w:type="gramEnd"/>
      <w:r w:rsidRPr="00AF0A07">
        <w:t xml:space="preserve"> </w:t>
      </w:r>
      <w:r w:rsidRPr="00AF0A07">
        <w:rPr>
          <w:rStyle w:val="Strong"/>
          <w:b w:val="0"/>
        </w:rPr>
        <w:t xml:space="preserve">Perspectives on evidence-based research in education-what works? </w:t>
      </w:r>
      <w:proofErr w:type="gramStart"/>
      <w:r w:rsidRPr="00AF0A07">
        <w:rPr>
          <w:rStyle w:val="Strong"/>
          <w:b w:val="0"/>
        </w:rPr>
        <w:t>Issues in synthesizing educational program evaluations.</w:t>
      </w:r>
      <w:proofErr w:type="gramEnd"/>
      <w:r w:rsidRPr="00AF0A07">
        <w:t xml:space="preserve"> </w:t>
      </w:r>
      <w:r w:rsidRPr="00AF0A07">
        <w:rPr>
          <w:i/>
        </w:rPr>
        <w:t>Educational Researcher</w:t>
      </w:r>
      <w:r w:rsidRPr="00AF0A07">
        <w:t xml:space="preserve">, </w:t>
      </w:r>
      <w:r w:rsidRPr="00AF0A07">
        <w:rPr>
          <w:i/>
        </w:rPr>
        <w:t>37</w:t>
      </w:r>
      <w:r w:rsidRPr="00AF0A07">
        <w:t>, 5-14.</w:t>
      </w:r>
    </w:p>
    <w:p w:rsidR="00E067B8" w:rsidRPr="00AF0A07" w:rsidRDefault="00E067B8" w:rsidP="00E067B8">
      <w:pPr>
        <w:widowControl w:val="0"/>
        <w:spacing w:after="200"/>
        <w:ind w:left="720" w:hanging="720"/>
      </w:pPr>
      <w:r w:rsidRPr="00AF0A07">
        <w:t xml:space="preserve">Sosa, E. (2007). </w:t>
      </w:r>
      <w:proofErr w:type="gramStart"/>
      <w:r w:rsidRPr="00AF0A07">
        <w:rPr>
          <w:i/>
        </w:rPr>
        <w:t>A Virtue Epistemology</w:t>
      </w:r>
      <w:r w:rsidRPr="00AF0A07">
        <w:t>.</w:t>
      </w:r>
      <w:proofErr w:type="gramEnd"/>
      <w:r w:rsidRPr="00AF0A07">
        <w:t xml:space="preserve"> Oxford: Oxford University Press.</w:t>
      </w:r>
    </w:p>
    <w:p w:rsidR="00E067B8" w:rsidRPr="00AF0A07" w:rsidRDefault="00E067B8" w:rsidP="00E067B8">
      <w:pPr>
        <w:widowControl w:val="0"/>
        <w:autoSpaceDE w:val="0"/>
        <w:autoSpaceDN w:val="0"/>
        <w:adjustRightInd w:val="0"/>
        <w:spacing w:after="200"/>
        <w:ind w:left="720" w:hanging="720"/>
      </w:pPr>
      <w:proofErr w:type="gramStart"/>
      <w:r w:rsidRPr="00AF0A07">
        <w:t>SRA/McGraw-Hill.</w:t>
      </w:r>
      <w:proofErr w:type="gramEnd"/>
      <w:r w:rsidRPr="00AF0A07">
        <w:t xml:space="preserve"> (2001). Technical Report Performance Assessments </w:t>
      </w:r>
      <w:proofErr w:type="spellStart"/>
      <w:r w:rsidRPr="00AF0A07">
        <w:t>TerraNova</w:t>
      </w:r>
      <w:proofErr w:type="spellEnd"/>
      <w:r w:rsidRPr="00AF0A07">
        <w:t>: Monterey, CA.</w:t>
      </w:r>
    </w:p>
    <w:p w:rsidR="00E067B8" w:rsidRPr="00AF0A07" w:rsidRDefault="00E067B8" w:rsidP="00E067B8">
      <w:pPr>
        <w:widowControl w:val="0"/>
        <w:spacing w:after="200"/>
        <w:ind w:left="720" w:hanging="720"/>
      </w:pPr>
      <w:r w:rsidRPr="00AF0A07">
        <w:t xml:space="preserve">Steiner, P. M., Cook, T. D., &amp; Shadish, W. R. (2011). </w:t>
      </w:r>
      <w:proofErr w:type="gramStart"/>
      <w:r w:rsidRPr="00AF0A07">
        <w:t>On the importance of reliable covariate measurement in selection bias adjustments using propensity scores.</w:t>
      </w:r>
      <w:proofErr w:type="gramEnd"/>
      <w:r w:rsidRPr="00AF0A07">
        <w:t xml:space="preserve"> </w:t>
      </w:r>
      <w:proofErr w:type="gramStart"/>
      <w:r w:rsidRPr="00AF0A07">
        <w:rPr>
          <w:i/>
          <w:iCs/>
        </w:rPr>
        <w:t>Journal of Educational and Behavioral Statistics</w:t>
      </w:r>
      <w:r w:rsidRPr="00AF0A07">
        <w:t>.</w:t>
      </w:r>
      <w:proofErr w:type="gramEnd"/>
      <w:r w:rsidRPr="00AF0A07">
        <w:rPr>
          <w:rStyle w:val="Heading1Char"/>
          <w:rFonts w:ascii="Times New Roman" w:eastAsia="SimSun" w:hAnsi="Times New Roman"/>
          <w:b w:val="0"/>
          <w:i/>
          <w:iCs/>
          <w:sz w:val="24"/>
          <w:szCs w:val="24"/>
        </w:rPr>
        <w:t xml:space="preserve"> </w:t>
      </w:r>
      <w:proofErr w:type="gramStart"/>
      <w:r w:rsidRPr="00AF0A07">
        <w:rPr>
          <w:rStyle w:val="slug-vol"/>
          <w:iCs/>
        </w:rPr>
        <w:t>vol</w:t>
      </w:r>
      <w:proofErr w:type="gramEnd"/>
      <w:r w:rsidRPr="00AF0A07">
        <w:rPr>
          <w:rStyle w:val="slug-vol"/>
          <w:iCs/>
        </w:rPr>
        <w:t>. 36(</w:t>
      </w:r>
      <w:r w:rsidRPr="00AF0A07">
        <w:rPr>
          <w:rStyle w:val="slug-issue"/>
          <w:iCs/>
        </w:rPr>
        <w:t xml:space="preserve">2): </w:t>
      </w:r>
      <w:r w:rsidRPr="00AF0A07">
        <w:rPr>
          <w:rStyle w:val="slug-pages"/>
          <w:iCs/>
        </w:rPr>
        <w:t>213-236.</w:t>
      </w:r>
    </w:p>
    <w:p w:rsidR="00E067B8" w:rsidRPr="00AF0A07" w:rsidRDefault="00E067B8" w:rsidP="00E067B8">
      <w:pPr>
        <w:widowControl w:val="0"/>
        <w:spacing w:after="200"/>
        <w:ind w:left="720" w:hanging="720"/>
        <w:rPr>
          <w:i/>
          <w:iCs/>
        </w:rPr>
      </w:pPr>
      <w:proofErr w:type="gramStart"/>
      <w:r w:rsidRPr="00AF0A07">
        <w:t>Steiner, P. M., Cook, T. D., &amp; Shadish, W. R., Clark, M. H. (2010).</w:t>
      </w:r>
      <w:proofErr w:type="gramEnd"/>
      <w:r w:rsidRPr="00AF0A07">
        <w:t xml:space="preserve"> </w:t>
      </w:r>
      <w:proofErr w:type="gramStart"/>
      <w:r w:rsidRPr="00AF0A07">
        <w:t>The importance of covariate selection in controlling for selection bias in observational studies.</w:t>
      </w:r>
      <w:proofErr w:type="gramEnd"/>
      <w:r w:rsidRPr="00AF0A07">
        <w:t xml:space="preserve"> </w:t>
      </w:r>
      <w:r w:rsidRPr="00AF0A07">
        <w:rPr>
          <w:i/>
          <w:iCs/>
        </w:rPr>
        <w:t>Psychological Methods, 15(</w:t>
      </w:r>
      <w:r w:rsidRPr="00AF0A07">
        <w:rPr>
          <w:iCs/>
        </w:rPr>
        <w:t>3</w:t>
      </w:r>
      <w:r w:rsidRPr="00AF0A07">
        <w:rPr>
          <w:i/>
          <w:iCs/>
        </w:rPr>
        <w:t xml:space="preserve">), </w:t>
      </w:r>
      <w:r w:rsidRPr="00AF0A07">
        <w:t>250-267.</w:t>
      </w:r>
    </w:p>
    <w:p w:rsidR="00E067B8" w:rsidRPr="00AF0A07" w:rsidRDefault="00E067B8" w:rsidP="00E067B8">
      <w:pPr>
        <w:widowControl w:val="0"/>
        <w:spacing w:after="200"/>
        <w:ind w:left="720" w:hanging="720"/>
      </w:pPr>
      <w:r w:rsidRPr="00AF0A07">
        <w:t xml:space="preserve">Stephan, Jennifer L., Rosenbaum, James E. (Forthcoming). Can High Schools Reduce College Enrollment Gaps With a New Counseling Model? </w:t>
      </w:r>
      <w:r w:rsidRPr="00AF0A07">
        <w:rPr>
          <w:i/>
        </w:rPr>
        <w:t>Educational Evaluation and Policy Analysis</w:t>
      </w:r>
      <w:r w:rsidRPr="00AF0A07">
        <w:t>, Oct 2012; vol. 0: 0162373712462624.</w:t>
      </w:r>
    </w:p>
    <w:p w:rsidR="00E067B8" w:rsidRPr="00AF0A07" w:rsidRDefault="00E067B8" w:rsidP="00E067B8">
      <w:pPr>
        <w:widowControl w:val="0"/>
        <w:spacing w:after="200"/>
        <w:ind w:left="720" w:hanging="720"/>
      </w:pPr>
      <w:proofErr w:type="gramStart"/>
      <w:r w:rsidRPr="00AF0A07">
        <w:rPr>
          <w:bCs/>
        </w:rPr>
        <w:t>Stuart, E.A.</w:t>
      </w:r>
      <w:r w:rsidRPr="00AF0A07">
        <w:t>, Cole, S.R., Bradshaw, C.P., and Leaf, P.J. (2011).</w:t>
      </w:r>
      <w:proofErr w:type="gramEnd"/>
      <w:r w:rsidRPr="00AF0A07">
        <w:t xml:space="preserve"> The use of propensity scores to assess the generalizability of results from randomized trials. </w:t>
      </w:r>
      <w:r w:rsidRPr="00AF0A07">
        <w:rPr>
          <w:i/>
          <w:iCs/>
        </w:rPr>
        <w:t xml:space="preserve">The Journal of the Royal Statistical Society, Series </w:t>
      </w:r>
      <w:proofErr w:type="gramStart"/>
      <w:r w:rsidRPr="00AF0A07">
        <w:rPr>
          <w:i/>
          <w:iCs/>
        </w:rPr>
        <w:t>A</w:t>
      </w:r>
      <w:proofErr w:type="gramEnd"/>
      <w:r w:rsidRPr="00AF0A07">
        <w:rPr>
          <w:i/>
          <w:iCs/>
        </w:rPr>
        <w:t xml:space="preserve"> </w:t>
      </w:r>
      <w:r w:rsidRPr="00AF0A07">
        <w:t>174(2): 369-386</w:t>
      </w:r>
      <w:r w:rsidRPr="00AF0A07">
        <w:rPr>
          <w:i/>
          <w:iCs/>
        </w:rPr>
        <w:t xml:space="preserve">. </w:t>
      </w:r>
      <w:proofErr w:type="gramStart"/>
      <w:r w:rsidRPr="00AF0A07">
        <w:t>PMC Journal – In progress.</w:t>
      </w:r>
      <w:proofErr w:type="gramEnd"/>
    </w:p>
    <w:p w:rsidR="00E067B8" w:rsidRPr="00AF0A07" w:rsidRDefault="00E067B8" w:rsidP="00E067B8">
      <w:pPr>
        <w:widowControl w:val="0"/>
        <w:autoSpaceDE w:val="0"/>
        <w:autoSpaceDN w:val="0"/>
        <w:adjustRightInd w:val="0"/>
        <w:spacing w:after="200"/>
        <w:ind w:left="720" w:hanging="720"/>
      </w:pPr>
      <w:proofErr w:type="gramStart"/>
      <w:r w:rsidRPr="00AF0A07">
        <w:t>Thorndike EL, and Woodworth RS.</w:t>
      </w:r>
      <w:proofErr w:type="gramEnd"/>
      <w:r w:rsidRPr="00AF0A07">
        <w:t xml:space="preserve"> </w:t>
      </w:r>
      <w:proofErr w:type="gramStart"/>
      <w:r w:rsidRPr="00AF0A07">
        <w:t>(1901).The influence of improvement in one mental function upon the efficiency of other functions.</w:t>
      </w:r>
      <w:proofErr w:type="gramEnd"/>
      <w:r w:rsidRPr="00AF0A07">
        <w:t xml:space="preserve"> </w:t>
      </w:r>
      <w:proofErr w:type="gramStart"/>
      <w:r w:rsidRPr="00AF0A07">
        <w:rPr>
          <w:i/>
        </w:rPr>
        <w:t>Psychological  Review</w:t>
      </w:r>
      <w:r w:rsidRPr="00AF0A07">
        <w:t>:8:247</w:t>
      </w:r>
      <w:proofErr w:type="gramEnd"/>
      <w:r w:rsidRPr="00AF0A07">
        <w:t>-61, 384-95, 553-64.</w:t>
      </w:r>
    </w:p>
    <w:p w:rsidR="00E067B8" w:rsidRPr="00AF0A07" w:rsidRDefault="00E067B8" w:rsidP="00E067B8">
      <w:pPr>
        <w:widowControl w:val="0"/>
        <w:autoSpaceDE w:val="0"/>
        <w:autoSpaceDN w:val="0"/>
        <w:adjustRightInd w:val="0"/>
        <w:spacing w:after="200"/>
        <w:ind w:left="720" w:hanging="720"/>
      </w:pPr>
      <w:proofErr w:type="gramStart"/>
      <w:r w:rsidRPr="00AF0A07">
        <w:t>US Department of Education.</w:t>
      </w:r>
      <w:proofErr w:type="gramEnd"/>
      <w:r w:rsidRPr="00AF0A07">
        <w:t xml:space="preserve"> (2002). </w:t>
      </w:r>
      <w:r w:rsidRPr="00AF0A07">
        <w:rPr>
          <w:i/>
        </w:rPr>
        <w:t>Evidence Based Education</w:t>
      </w:r>
      <w:r w:rsidRPr="00AF0A07">
        <w:t xml:space="preserve">. </w:t>
      </w:r>
      <w:proofErr w:type="gramStart"/>
      <w:r w:rsidRPr="00AF0A07">
        <w:t xml:space="preserve">Retrieved from </w:t>
      </w:r>
      <w:hyperlink r:id="rId140" w:history="1">
        <w:r w:rsidRPr="00AF0A07">
          <w:rPr>
            <w:rStyle w:val="Hyperlink"/>
          </w:rPr>
          <w:t>http://www.ed.gov/nclb/methods/whatworks/eb/edlite-index.html</w:t>
        </w:r>
      </w:hyperlink>
      <w:r w:rsidRPr="00AF0A07">
        <w:t>.</w:t>
      </w:r>
      <w:proofErr w:type="gramEnd"/>
    </w:p>
    <w:p w:rsidR="00E067B8" w:rsidRPr="00AF0A07" w:rsidRDefault="00E067B8" w:rsidP="00E067B8">
      <w:pPr>
        <w:widowControl w:val="0"/>
        <w:autoSpaceDE w:val="0"/>
        <w:autoSpaceDN w:val="0"/>
        <w:adjustRightInd w:val="0"/>
        <w:spacing w:after="200"/>
        <w:ind w:left="720" w:hanging="720"/>
      </w:pPr>
      <w:proofErr w:type="gramStart"/>
      <w:r w:rsidRPr="00AF0A07">
        <w:t>US Department of Health and Human Services.</w:t>
      </w:r>
      <w:proofErr w:type="gramEnd"/>
      <w:r w:rsidRPr="00AF0A07">
        <w:t xml:space="preserve"> </w:t>
      </w:r>
      <w:proofErr w:type="gramStart"/>
      <w:r w:rsidRPr="00AF0A07">
        <w:t xml:space="preserve">(2000). </w:t>
      </w:r>
      <w:r w:rsidRPr="00AF0A07">
        <w:rPr>
          <w:i/>
        </w:rPr>
        <w:t>Trends in the well-being of America’s children and youth</w:t>
      </w:r>
      <w:r w:rsidRPr="00AF0A07">
        <w:t>.</w:t>
      </w:r>
      <w:proofErr w:type="gramEnd"/>
      <w:r w:rsidRPr="00AF0A07">
        <w:t xml:space="preserve"> Washington, DC.</w:t>
      </w:r>
    </w:p>
    <w:p w:rsidR="00E067B8" w:rsidRPr="00AF0A07" w:rsidRDefault="00E067B8" w:rsidP="00E067B8">
      <w:pPr>
        <w:widowControl w:val="0"/>
        <w:autoSpaceDE w:val="0"/>
        <w:autoSpaceDN w:val="0"/>
        <w:adjustRightInd w:val="0"/>
        <w:spacing w:after="200"/>
        <w:ind w:left="720" w:hanging="720"/>
      </w:pPr>
      <w:proofErr w:type="spellStart"/>
      <w:r w:rsidRPr="00AF0A07">
        <w:rPr>
          <w:lang w:val="fr-FR"/>
        </w:rPr>
        <w:t>Wainer</w:t>
      </w:r>
      <w:proofErr w:type="spellEnd"/>
      <w:r w:rsidRPr="00AF0A07">
        <w:rPr>
          <w:lang w:val="fr-FR"/>
        </w:rPr>
        <w:t xml:space="preserve">, H. &amp; Robinson, D.H. (2003). </w:t>
      </w:r>
      <w:proofErr w:type="gramStart"/>
      <w:r w:rsidRPr="00AF0A07">
        <w:t>Shaping up the practice of null hypothesis significance testing.</w:t>
      </w:r>
      <w:proofErr w:type="gramEnd"/>
      <w:r w:rsidRPr="00AF0A07">
        <w:t xml:space="preserve">  </w:t>
      </w:r>
      <w:r w:rsidRPr="00AF0A07">
        <w:rPr>
          <w:i/>
          <w:iCs/>
        </w:rPr>
        <w:t>Educational Researcher</w:t>
      </w:r>
      <w:r w:rsidRPr="00AF0A07">
        <w:t xml:space="preserve">, </w:t>
      </w:r>
      <w:r w:rsidRPr="00AF0A07">
        <w:rPr>
          <w:i/>
        </w:rPr>
        <w:t>32,</w:t>
      </w:r>
      <w:r w:rsidRPr="00AF0A07">
        <w:t xml:space="preserve"> 22-30.</w:t>
      </w:r>
    </w:p>
    <w:p w:rsidR="00E067B8" w:rsidRPr="00AF0A07" w:rsidRDefault="00E067B8" w:rsidP="00E067B8">
      <w:pPr>
        <w:pStyle w:val="BodyTextIndent3"/>
        <w:widowControl w:val="0"/>
        <w:spacing w:after="200" w:line="240" w:lineRule="auto"/>
        <w:ind w:left="540" w:hanging="540"/>
        <w:rPr>
          <w:sz w:val="24"/>
          <w:szCs w:val="24"/>
        </w:rPr>
      </w:pPr>
      <w:proofErr w:type="gramStart"/>
      <w:r w:rsidRPr="00AF0A07">
        <w:rPr>
          <w:sz w:val="24"/>
          <w:szCs w:val="24"/>
        </w:rPr>
        <w:lastRenderedPageBreak/>
        <w:t>Wilkinson, L. and Task Force on Statistical inference (1999).</w:t>
      </w:r>
      <w:proofErr w:type="gramEnd"/>
      <w:r w:rsidRPr="00AF0A07">
        <w:rPr>
          <w:sz w:val="24"/>
          <w:szCs w:val="24"/>
        </w:rPr>
        <w:t xml:space="preserve"> Statistical methods in psychology journals: Guidelines and explanations. </w:t>
      </w:r>
      <w:r w:rsidRPr="00AF0A07">
        <w:rPr>
          <w:i/>
          <w:sz w:val="24"/>
          <w:szCs w:val="24"/>
        </w:rPr>
        <w:t>American Psychologist, 54</w:t>
      </w:r>
      <w:r w:rsidRPr="00AF0A07">
        <w:rPr>
          <w:sz w:val="24"/>
          <w:szCs w:val="24"/>
        </w:rPr>
        <w:t>, 594-604.</w:t>
      </w:r>
    </w:p>
    <w:p w:rsidR="00AF0A07" w:rsidRDefault="00E067B8" w:rsidP="00AF0A07">
      <w:pPr>
        <w:pStyle w:val="BodyTextIndent3"/>
        <w:widowControl w:val="0"/>
        <w:spacing w:after="200" w:line="240" w:lineRule="auto"/>
        <w:rPr>
          <w:sz w:val="24"/>
          <w:szCs w:val="24"/>
        </w:rPr>
      </w:pPr>
      <w:proofErr w:type="gramStart"/>
      <w:r w:rsidRPr="00AF0A07">
        <w:rPr>
          <w:sz w:val="24"/>
          <w:szCs w:val="24"/>
        </w:rPr>
        <w:t>Winship, Christopher and Stephen L. Morgan.</w:t>
      </w:r>
      <w:proofErr w:type="gramEnd"/>
      <w:r w:rsidRPr="00AF0A07">
        <w:rPr>
          <w:sz w:val="24"/>
          <w:szCs w:val="24"/>
        </w:rPr>
        <w:t xml:space="preserve"> (1999). </w:t>
      </w:r>
      <w:proofErr w:type="gramStart"/>
      <w:r w:rsidRPr="00AF0A07">
        <w:rPr>
          <w:sz w:val="24"/>
          <w:szCs w:val="24"/>
        </w:rPr>
        <w:t>The</w:t>
      </w:r>
      <w:proofErr w:type="gramEnd"/>
      <w:r w:rsidRPr="00AF0A07">
        <w:rPr>
          <w:sz w:val="24"/>
          <w:szCs w:val="24"/>
        </w:rPr>
        <w:t xml:space="preserve"> Estimation of Causal Effects from Observational Data. </w:t>
      </w:r>
      <w:r w:rsidRPr="00AF0A07">
        <w:rPr>
          <w:i/>
          <w:iCs/>
          <w:sz w:val="24"/>
          <w:szCs w:val="24"/>
        </w:rPr>
        <w:t xml:space="preserve">Annual Review of Sociology </w:t>
      </w:r>
      <w:r w:rsidRPr="00AF0A07">
        <w:rPr>
          <w:sz w:val="24"/>
          <w:szCs w:val="24"/>
        </w:rPr>
        <w:t>25:659-706.</w:t>
      </w:r>
    </w:p>
    <w:p w:rsidR="00E067B8" w:rsidRPr="00AF0A07" w:rsidRDefault="00E067B8" w:rsidP="00AF0A07">
      <w:pPr>
        <w:pStyle w:val="BodyTextIndent3"/>
        <w:widowControl w:val="0"/>
        <w:spacing w:after="200" w:line="240" w:lineRule="auto"/>
        <w:rPr>
          <w:sz w:val="24"/>
          <w:szCs w:val="24"/>
        </w:rPr>
      </w:pPr>
      <w:r w:rsidRPr="00AF0A07">
        <w:rPr>
          <w:rStyle w:val="cit-auth"/>
          <w:sz w:val="24"/>
          <w:szCs w:val="24"/>
        </w:rPr>
        <w:t>Yuan</w:t>
      </w:r>
      <w:r w:rsidRPr="00AF0A07">
        <w:rPr>
          <w:rStyle w:val="cit-sep"/>
          <w:sz w:val="24"/>
          <w:szCs w:val="24"/>
        </w:rPr>
        <w:t xml:space="preserve">, K., </w:t>
      </w:r>
      <w:r w:rsidRPr="00AF0A07">
        <w:rPr>
          <w:rStyle w:val="cit-auth"/>
          <w:sz w:val="24"/>
          <w:szCs w:val="24"/>
        </w:rPr>
        <w:t>Le</w:t>
      </w:r>
      <w:r w:rsidRPr="00AF0A07">
        <w:rPr>
          <w:rStyle w:val="cit-sep"/>
          <w:sz w:val="24"/>
          <w:szCs w:val="24"/>
        </w:rPr>
        <w:t xml:space="preserve">, V., </w:t>
      </w:r>
      <w:r w:rsidRPr="00AF0A07">
        <w:rPr>
          <w:rStyle w:val="cit-auth"/>
          <w:sz w:val="24"/>
          <w:szCs w:val="24"/>
        </w:rPr>
        <w:t>McCaffrey</w:t>
      </w:r>
      <w:r w:rsidRPr="00AF0A07">
        <w:rPr>
          <w:rStyle w:val="cit-sep"/>
          <w:sz w:val="24"/>
          <w:szCs w:val="24"/>
        </w:rPr>
        <w:t xml:space="preserve">, D.F., </w:t>
      </w:r>
      <w:r w:rsidRPr="00AF0A07">
        <w:rPr>
          <w:rStyle w:val="cit-auth"/>
          <w:sz w:val="24"/>
          <w:szCs w:val="24"/>
        </w:rPr>
        <w:t>Marsh</w:t>
      </w:r>
      <w:r w:rsidRPr="00AF0A07">
        <w:rPr>
          <w:rStyle w:val="cit-sep"/>
          <w:sz w:val="24"/>
          <w:szCs w:val="24"/>
        </w:rPr>
        <w:t>, J.A.,</w:t>
      </w:r>
      <w:r w:rsidRPr="00AF0A07">
        <w:rPr>
          <w:rStyle w:val="cit-auth"/>
          <w:sz w:val="24"/>
          <w:szCs w:val="24"/>
        </w:rPr>
        <w:t xml:space="preserve"> Hamilton</w:t>
      </w:r>
      <w:r w:rsidRPr="00AF0A07">
        <w:rPr>
          <w:rStyle w:val="cit-sep"/>
          <w:sz w:val="24"/>
          <w:szCs w:val="24"/>
        </w:rPr>
        <w:t xml:space="preserve">, L.S., </w:t>
      </w:r>
      <w:proofErr w:type="spellStart"/>
      <w:r w:rsidRPr="00AF0A07">
        <w:rPr>
          <w:rStyle w:val="cit-auth"/>
          <w:sz w:val="24"/>
          <w:szCs w:val="24"/>
        </w:rPr>
        <w:t>Stecher</w:t>
      </w:r>
      <w:proofErr w:type="spellEnd"/>
      <w:r w:rsidRPr="00AF0A07">
        <w:rPr>
          <w:rStyle w:val="cit-sep"/>
          <w:sz w:val="24"/>
          <w:szCs w:val="24"/>
        </w:rPr>
        <w:t xml:space="preserve">, B.M., and </w:t>
      </w:r>
      <w:r w:rsidRPr="00AF0A07">
        <w:rPr>
          <w:rStyle w:val="cit-auth"/>
          <w:sz w:val="24"/>
          <w:szCs w:val="24"/>
        </w:rPr>
        <w:t xml:space="preserve">Springer, M.G. (forthcoming) </w:t>
      </w:r>
      <w:r w:rsidRPr="00AF0A07">
        <w:rPr>
          <w:rStyle w:val="cit-title"/>
          <w:sz w:val="24"/>
          <w:szCs w:val="24"/>
        </w:rPr>
        <w:t>Incentive Pay Programs Do Not Affect Teacher Motivation or Reported Practices</w:t>
      </w:r>
      <w:r w:rsidRPr="00AF0A07">
        <w:rPr>
          <w:rStyle w:val="cit-sep"/>
          <w:sz w:val="24"/>
          <w:szCs w:val="24"/>
        </w:rPr>
        <w:t xml:space="preserve">: </w:t>
      </w:r>
      <w:r w:rsidRPr="00AF0A07">
        <w:rPr>
          <w:rStyle w:val="cit-subtitle"/>
          <w:sz w:val="24"/>
          <w:szCs w:val="24"/>
        </w:rPr>
        <w:t xml:space="preserve">Results From Three Randomized Studies. </w:t>
      </w:r>
      <w:r w:rsidRPr="00AF0A07">
        <w:rPr>
          <w:rStyle w:val="site-title"/>
          <w:i/>
          <w:iCs/>
          <w:sz w:val="24"/>
          <w:szCs w:val="24"/>
        </w:rPr>
        <w:t xml:space="preserve">Educational Evaluation and Policy Analysis </w:t>
      </w:r>
      <w:r w:rsidRPr="00AF0A07">
        <w:rPr>
          <w:rStyle w:val="cit-elocation"/>
          <w:i/>
          <w:iCs/>
          <w:sz w:val="24"/>
          <w:szCs w:val="24"/>
        </w:rPr>
        <w:t>0162373712462625</w:t>
      </w:r>
      <w:r w:rsidRPr="00AF0A07">
        <w:rPr>
          <w:rStyle w:val="cit-sep"/>
          <w:i/>
          <w:iCs/>
          <w:sz w:val="24"/>
          <w:szCs w:val="24"/>
        </w:rPr>
        <w:t xml:space="preserve">, first published on </w:t>
      </w:r>
      <w:r w:rsidRPr="00AF0A07">
        <w:rPr>
          <w:rStyle w:val="cit-ahead-of-print-date"/>
          <w:i/>
          <w:iCs/>
          <w:sz w:val="24"/>
          <w:szCs w:val="24"/>
        </w:rPr>
        <w:t xml:space="preserve">November 12, 2012 </w:t>
      </w:r>
      <w:r w:rsidRPr="00AF0A07">
        <w:rPr>
          <w:rStyle w:val="cit-sep"/>
          <w:i/>
          <w:iCs/>
          <w:sz w:val="24"/>
          <w:szCs w:val="24"/>
        </w:rPr>
        <w:t>as doi</w:t>
      </w:r>
      <w:proofErr w:type="gramStart"/>
      <w:r w:rsidRPr="00AF0A07">
        <w:rPr>
          <w:rStyle w:val="cit-sep"/>
          <w:i/>
          <w:iCs/>
          <w:sz w:val="24"/>
          <w:szCs w:val="24"/>
        </w:rPr>
        <w:t>:</w:t>
      </w:r>
      <w:r w:rsidRPr="00AF0A07">
        <w:rPr>
          <w:rStyle w:val="cit-doi"/>
          <w:i/>
          <w:iCs/>
          <w:sz w:val="24"/>
          <w:szCs w:val="24"/>
        </w:rPr>
        <w:t>10.3102</w:t>
      </w:r>
      <w:proofErr w:type="gramEnd"/>
      <w:r w:rsidRPr="00AF0A07">
        <w:rPr>
          <w:rStyle w:val="cit-doi"/>
          <w:i/>
          <w:iCs/>
          <w:sz w:val="24"/>
          <w:szCs w:val="24"/>
        </w:rPr>
        <w:t>/0162373712462625</w:t>
      </w:r>
    </w:p>
    <w:p w:rsidR="00E067B8" w:rsidRPr="00AF0A07" w:rsidRDefault="00E067B8" w:rsidP="00AB71EF">
      <w:pPr>
        <w:widowControl w:val="0"/>
        <w:spacing w:line="480" w:lineRule="auto"/>
        <w:jc w:val="center"/>
        <w:rPr>
          <w:color w:val="000000"/>
        </w:rPr>
      </w:pPr>
    </w:p>
    <w:p w:rsidR="00AB71EF" w:rsidRPr="00AF0A07" w:rsidRDefault="00AB71EF" w:rsidP="009F276B">
      <w:pPr>
        <w:spacing w:after="200"/>
      </w:pPr>
    </w:p>
    <w:p w:rsidR="004D297C" w:rsidRDefault="004D297C">
      <w:pPr>
        <w:rPr>
          <w:rStyle w:val="cit-doi"/>
          <w:rFonts w:eastAsia="Batang"/>
          <w:iCs/>
          <w:sz w:val="22"/>
          <w:szCs w:val="20"/>
        </w:rPr>
      </w:pPr>
      <w:r>
        <w:rPr>
          <w:rStyle w:val="cit-doi"/>
          <w:iCs/>
        </w:rPr>
        <w:br w:type="page"/>
      </w:r>
    </w:p>
    <w:p w:rsidR="00BA44D3" w:rsidRDefault="00AB3307" w:rsidP="00BA44D3">
      <w:pPr>
        <w:jc w:val="center"/>
      </w:pPr>
      <w:r>
        <w:lastRenderedPageBreak/>
        <w:t>Endnotes</w:t>
      </w:r>
    </w:p>
    <w:p w:rsidR="000F3E2D" w:rsidRPr="00EE52E4" w:rsidRDefault="000F3E2D" w:rsidP="00BA44D3">
      <w:pPr>
        <w:jc w:val="center"/>
      </w:pPr>
      <w:proofErr w:type="gramStart"/>
      <w:r>
        <w:rPr>
          <w:vertAlign w:val="superscript"/>
        </w:rPr>
        <w:t>i</w:t>
      </w:r>
      <w:proofErr w:type="gramEnd"/>
      <w:r w:rsidRPr="00EE52E4">
        <w:rPr>
          <w:vertAlign w:val="superscript"/>
        </w:rPr>
        <w:t xml:space="preserve"> </w:t>
      </w:r>
      <w:r w:rsidRPr="00EE52E4">
        <w:t>Rubin (2004) would differentiate possible outcomes using Y(1) for the treatment and Y(0) for the control, but the parenthetical expressions become awkward when part of a larger function. Therefore, we designate treatment and control with a superscript.  The use of superscripts is as in Winship and Morgan (1999).</w:t>
      </w:r>
    </w:p>
    <w:p w:rsidR="000F3E2D" w:rsidRPr="00EE52E4" w:rsidRDefault="000F3E2D" w:rsidP="000F3E2D">
      <w:r>
        <w:rPr>
          <w:vertAlign w:val="superscript"/>
        </w:rPr>
        <w:t>ii</w:t>
      </w:r>
      <w:r w:rsidRPr="00EE52E4">
        <w:t xml:space="preserve"> Heckman (1979, page 155) also established a relationship between bias due to non-random assignment to treatment conditions and bias due to sample selection.  In our terms, Heckman defines Z as depending on attributes of units. In turn, if the attributes that affect the probability of being sampled are not accounted for in estimating a treatment effect, they are omitted variables. In contrast, we characterize bias in terms of the percentage of a sample to be replaced and the expected outcomes of the replacement observations.  This allows us to evaluate bias due to non-random sampling (as in 8) or bias due to non-random assignment to treatments (as in 6) using a single framework based on RCM.</w:t>
      </w:r>
    </w:p>
    <w:p w:rsidR="000F3E2D" w:rsidRPr="00EE52E4" w:rsidRDefault="000F3E2D" w:rsidP="000F3E2D">
      <w:pPr>
        <w:pStyle w:val="EndnoteText"/>
        <w:ind w:firstLine="0"/>
        <w:rPr>
          <w:position w:val="-60"/>
          <w:sz w:val="24"/>
          <w:szCs w:val="24"/>
        </w:rPr>
      </w:pPr>
      <w:proofErr w:type="gramStart"/>
      <w:r>
        <w:rPr>
          <w:sz w:val="24"/>
          <w:szCs w:val="24"/>
          <w:vertAlign w:val="superscript"/>
        </w:rPr>
        <w:t>iii</w:t>
      </w:r>
      <w:proofErr w:type="gramEnd"/>
      <w:r w:rsidRPr="00EE52E4">
        <w:rPr>
          <w:sz w:val="24"/>
          <w:szCs w:val="24"/>
        </w:rPr>
        <w:t xml:space="preserve"> pooled standard deviation =</w:t>
      </w:r>
      <w:r w:rsidRPr="00EE52E4">
        <w:rPr>
          <w:position w:val="-60"/>
          <w:sz w:val="24"/>
          <w:szCs w:val="24"/>
        </w:rPr>
        <w:object w:dxaOrig="5179" w:dyaOrig="980">
          <v:shape id="_x0000_i1125" type="#_x0000_t75" style="width:258.75pt;height:48.75pt" o:ole="" fillcolor="window">
            <v:imagedata r:id="rId141" o:title=""/>
          </v:shape>
          <o:OLEObject Type="Embed" ProgID="Equation.DSMT4" ShapeID="_x0000_i1125" DrawAspect="Content" ObjectID="_1478976242" r:id="rId142"/>
        </w:object>
      </w:r>
      <w:r w:rsidRPr="00EE52E4">
        <w:rPr>
          <w:position w:val="-60"/>
          <w:sz w:val="24"/>
          <w:szCs w:val="24"/>
        </w:rPr>
        <w:t xml:space="preserve">.  </w:t>
      </w:r>
    </w:p>
    <w:p w:rsidR="000F3E2D" w:rsidRPr="00EE52E4" w:rsidRDefault="000F3E2D" w:rsidP="000F3E2D">
      <w:pPr>
        <w:pStyle w:val="EndnoteText"/>
        <w:spacing w:before="0" w:after="120"/>
        <w:ind w:firstLine="0"/>
        <w:rPr>
          <w:sz w:val="24"/>
          <w:szCs w:val="24"/>
        </w:rPr>
      </w:pPr>
      <w:r w:rsidRPr="00EE52E4">
        <w:rPr>
          <w:position w:val="-60"/>
          <w:sz w:val="24"/>
          <w:szCs w:val="24"/>
        </w:rPr>
        <w:t>We then corrected for the 1 degree of freedom for the pretest to generate a value of 6.24: 6.24=6.35(48/49).</w:t>
      </w:r>
    </w:p>
    <w:p w:rsidR="000F3E2D" w:rsidRPr="00EE52E4" w:rsidRDefault="000F3E2D" w:rsidP="000F3E2D">
      <w:pPr>
        <w:widowControl w:val="0"/>
      </w:pPr>
      <w:proofErr w:type="spellStart"/>
      <w:r>
        <w:rPr>
          <w:vertAlign w:val="superscript"/>
        </w:rPr>
        <w:t>iv</w:t>
      </w:r>
      <w:proofErr w:type="spellEnd"/>
      <w:r w:rsidRPr="00EE52E4">
        <w:t xml:space="preserve"> Given our formulation, (</w:t>
      </w:r>
      <w:proofErr w:type="gramStart"/>
      <w:r w:rsidRPr="00EE52E4">
        <w:rPr>
          <w:lang w:val="de-DE"/>
        </w:rPr>
        <w:t>E[</w:t>
      </w:r>
      <w:proofErr w:type="gramEnd"/>
      <w:r w:rsidRPr="00EE52E4">
        <w:rPr>
          <w:lang w:val="de-DE"/>
        </w:rPr>
        <w:t>Y</w:t>
      </w:r>
      <w:r w:rsidRPr="00EE52E4">
        <w:rPr>
          <w:i/>
          <w:vertAlign w:val="superscript"/>
          <w:lang w:val="de-DE"/>
        </w:rPr>
        <w:t>t</w:t>
      </w:r>
      <w:r w:rsidRPr="00EE52E4">
        <w:rPr>
          <w:lang w:val="de-DE"/>
        </w:rPr>
        <w:t>|Z=</w:t>
      </w:r>
      <w:r w:rsidRPr="00EE52E4">
        <w:rPr>
          <w:i/>
          <w:lang w:val="de-DE"/>
        </w:rPr>
        <w:t>p</w:t>
      </w:r>
      <w:r w:rsidRPr="00EE52E4">
        <w:rPr>
          <w:lang w:val="de-DE"/>
        </w:rPr>
        <w:t>] − E[Y</w:t>
      </w:r>
      <w:r w:rsidRPr="00EE52E4">
        <w:rPr>
          <w:i/>
          <w:vertAlign w:val="superscript"/>
          <w:lang w:val="de-DE"/>
        </w:rPr>
        <w:t>c</w:t>
      </w:r>
      <w:r w:rsidRPr="00EE52E4">
        <w:rPr>
          <w:lang w:val="de-DE"/>
        </w:rPr>
        <w:t>|Z=</w:t>
      </w:r>
      <w:r w:rsidRPr="00EE52E4">
        <w:rPr>
          <w:i/>
          <w:lang w:val="de-DE"/>
        </w:rPr>
        <w:t>p</w:t>
      </w:r>
      <w:r w:rsidRPr="00EE52E4">
        <w:rPr>
          <w:i/>
          <w:color w:val="000000"/>
        </w:rPr>
        <w:t>´</w:t>
      </w:r>
      <w:r w:rsidRPr="00EE52E4">
        <w:rPr>
          <w:lang w:val="de-DE"/>
        </w:rPr>
        <w:t xml:space="preserve">]=0), </w:t>
      </w:r>
      <w:r w:rsidRPr="00EE52E4">
        <w:t xml:space="preserve">the replacement classrooms were assigned to have mean value 610.6 </w:t>
      </w:r>
      <w:r w:rsidRPr="00EE52E4">
        <w:rPr>
          <w:i/>
        </w:rPr>
        <w:t>within</w:t>
      </w:r>
      <w:r w:rsidRPr="00EE52E4">
        <w:t xml:space="preserve"> each curriculum because 610.6 was the average achievement of the classrooms that were removed (the standard deviations of replacement classrooms within each curriculum were also set equal to 6.67 to reproduce the first two moments of distribution of the replaced classrooms).  </w:t>
      </w:r>
    </w:p>
    <w:p w:rsidR="000F3E2D" w:rsidRPr="00EE52E4" w:rsidRDefault="000F3E2D" w:rsidP="000F3E2D">
      <w:pPr>
        <w:pStyle w:val="EndnoteText"/>
        <w:rPr>
          <w:sz w:val="24"/>
          <w:szCs w:val="24"/>
        </w:rPr>
      </w:pPr>
    </w:p>
    <w:p w:rsidR="000F3E2D" w:rsidRPr="00EE52E4" w:rsidRDefault="000F3E2D" w:rsidP="000F3E2D">
      <w:pPr>
        <w:widowControl w:val="0"/>
        <w:spacing w:after="120"/>
      </w:pPr>
      <w:proofErr w:type="gramStart"/>
      <w:r>
        <w:rPr>
          <w:vertAlign w:val="superscript"/>
        </w:rPr>
        <w:t>v</w:t>
      </w:r>
      <w:proofErr w:type="gramEnd"/>
      <w:r>
        <w:rPr>
          <w:vertAlign w:val="superscript"/>
        </w:rPr>
        <w:t xml:space="preserve"> </w:t>
      </w:r>
      <w:r w:rsidRPr="00EE52E4">
        <w:rPr>
          <w:color w:val="000000"/>
        </w:rPr>
        <w:t>We re-express (4) in terms of 1− r</w:t>
      </w:r>
      <w:r w:rsidRPr="00EE52E4">
        <w:rPr>
          <w:color w:val="000000"/>
          <w:vertAlign w:val="superscript"/>
        </w:rPr>
        <w:t>#</w:t>
      </w:r>
      <w:r w:rsidRPr="00EE52E4">
        <w:rPr>
          <w:color w:val="000000"/>
        </w:rPr>
        <w:t>/r where r is the correlation between treatment and outcome, and r</w:t>
      </w:r>
      <w:r w:rsidRPr="00EE52E4">
        <w:rPr>
          <w:color w:val="000000"/>
          <w:vertAlign w:val="superscript"/>
        </w:rPr>
        <w:t xml:space="preserve"># </w:t>
      </w:r>
      <w:r w:rsidRPr="00EE52E4">
        <w:rPr>
          <w:color w:val="000000"/>
        </w:rPr>
        <w:t>is defined as the threshold for a statistically significant correlation coefficient.  Correlations adjust for differences in scales, and r</w:t>
      </w:r>
      <w:r w:rsidRPr="00EE52E4">
        <w:rPr>
          <w:color w:val="000000"/>
          <w:vertAlign w:val="superscript"/>
        </w:rPr>
        <w:t xml:space="preserve"># </w:t>
      </w:r>
      <w:r w:rsidRPr="00EE52E4">
        <w:rPr>
          <w:color w:val="000000"/>
        </w:rPr>
        <w:t>depends only on the degrees of freedom (sample size and parameters estimated) and alpha level, not the standard error of an estimate. The correlation was obtained from the ratio of the estimate to its standard error</w:t>
      </w:r>
      <w:proofErr w:type="gramStart"/>
      <w:r w:rsidRPr="00EE52E4">
        <w:rPr>
          <w:color w:val="000000"/>
        </w:rPr>
        <w:t xml:space="preserve">: </w:t>
      </w:r>
      <w:proofErr w:type="gramEnd"/>
      <w:r w:rsidRPr="00EE52E4">
        <w:rPr>
          <w:position w:val="-36"/>
        </w:rPr>
        <w:object w:dxaOrig="1340" w:dyaOrig="740">
          <v:shape id="_x0000_i1126" type="#_x0000_t75" style="width:66.75pt;height:36.75pt" o:ole="" fillcolor="window">
            <v:imagedata r:id="rId143" o:title=""/>
          </v:shape>
          <o:OLEObject Type="Embed" ProgID="Equation.DSMT4" ShapeID="_x0000_i1126" DrawAspect="Content" ObjectID="_1478976243" r:id="rId144"/>
        </w:object>
      </w:r>
      <w:r w:rsidRPr="00EE52E4">
        <w:rPr>
          <w:color w:val="000000"/>
        </w:rPr>
        <w:t xml:space="preserve">, and the threshold was obtained using the critical value of the t distribution: </w:t>
      </w:r>
      <w:r w:rsidRPr="00EE52E4">
        <w:rPr>
          <w:position w:val="-36"/>
        </w:rPr>
        <w:object w:dxaOrig="1660" w:dyaOrig="740">
          <v:shape id="_x0000_i1127" type="#_x0000_t75" style="width:83.25pt;height:36.75pt" o:ole="" fillcolor="window">
            <v:imagedata r:id="rId145" o:title=""/>
          </v:shape>
          <o:OLEObject Type="Embed" ProgID="Equation.DSMT4" ShapeID="_x0000_i1127" DrawAspect="Content" ObjectID="_1478976244" r:id="rId146"/>
        </w:object>
      </w:r>
      <w:r w:rsidRPr="00EE52E4">
        <w:t xml:space="preserve"> (Frank &amp; Min, 2007).  For large samples (e.g., greater than 1,000) </w:t>
      </w:r>
      <w:r w:rsidRPr="00EE52E4">
        <w:rPr>
          <w:color w:val="000000"/>
        </w:rPr>
        <w:t>r</w:t>
      </w:r>
      <w:r w:rsidRPr="00EE52E4">
        <w:rPr>
          <w:color w:val="000000"/>
          <w:vertAlign w:val="superscript"/>
        </w:rPr>
        <w:t>#</w:t>
      </w:r>
      <w:r w:rsidRPr="00EE52E4">
        <w:t xml:space="preserve">/r will be equivalent to </w:t>
      </w:r>
      <w:r w:rsidRPr="00EE52E4">
        <w:rPr>
          <w:color w:val="000000"/>
        </w:rPr>
        <w:t>δ</w:t>
      </w:r>
      <w:r w:rsidRPr="00EE52E4">
        <w:rPr>
          <w:color w:val="000000"/>
          <w:vertAlign w:val="superscript"/>
        </w:rPr>
        <w:t>#</w:t>
      </w:r>
      <w:r w:rsidRPr="00EE52E4">
        <w:t>/</w:t>
      </w:r>
      <w:r w:rsidRPr="00EE52E4">
        <w:rPr>
          <w:position w:val="-6"/>
        </w:rPr>
        <w:object w:dxaOrig="220" w:dyaOrig="340">
          <v:shape id="_x0000_i1128" type="#_x0000_t75" style="width:11.25pt;height:17.25pt" o:ole="" fillcolor="window">
            <v:imagedata r:id="rId147" o:title=""/>
          </v:shape>
          <o:OLEObject Type="Embed" ProgID="Equation.DSMT4" ShapeID="_x0000_i1128" DrawAspect="Content" ObjectID="_1478976245" r:id="rId148"/>
        </w:object>
      </w:r>
      <w:r w:rsidRPr="00EE52E4">
        <w:t xml:space="preserve"> to the second decimal in most circumstances, but in small samples </w:t>
      </w:r>
      <w:r w:rsidRPr="00EE52E4">
        <w:rPr>
          <w:color w:val="000000"/>
        </w:rPr>
        <w:t>r</w:t>
      </w:r>
      <w:r w:rsidRPr="00EE52E4">
        <w:rPr>
          <w:color w:val="000000"/>
          <w:vertAlign w:val="superscript"/>
        </w:rPr>
        <w:t>#</w:t>
      </w:r>
      <w:r w:rsidRPr="00EE52E4">
        <w:t xml:space="preserve">/r and </w:t>
      </w:r>
      <w:r w:rsidRPr="00EE52E4">
        <w:rPr>
          <w:color w:val="000000"/>
        </w:rPr>
        <w:t>δ</w:t>
      </w:r>
      <w:r w:rsidRPr="00EE52E4">
        <w:rPr>
          <w:color w:val="000000"/>
          <w:vertAlign w:val="superscript"/>
        </w:rPr>
        <w:t>#</w:t>
      </w:r>
      <w:r w:rsidRPr="00EE52E4">
        <w:t>/</w:t>
      </w:r>
      <w:r w:rsidRPr="00EE52E4">
        <w:rPr>
          <w:position w:val="-6"/>
        </w:rPr>
        <w:object w:dxaOrig="220" w:dyaOrig="340">
          <v:shape id="_x0000_i1129" type="#_x0000_t75" style="width:11.25pt;height:17.25pt" o:ole="" fillcolor="window">
            <v:imagedata r:id="rId147" o:title=""/>
          </v:shape>
          <o:OLEObject Type="Embed" ProgID="Equation.DSMT4" ShapeID="_x0000_i1129" DrawAspect="Content" ObjectID="_1478976246" r:id="rId149"/>
        </w:object>
      </w:r>
      <w:r w:rsidRPr="00EE52E4">
        <w:t xml:space="preserve"> will not be equivalent because </w:t>
      </w:r>
      <w:r w:rsidRPr="00EE52E4">
        <w:rPr>
          <w:color w:val="000000"/>
        </w:rPr>
        <w:t xml:space="preserve">δ is not a scalar multiple of r even though statistical inferences based on </w:t>
      </w:r>
      <w:r w:rsidRPr="00EE52E4">
        <w:rPr>
          <w:position w:val="-6"/>
        </w:rPr>
        <w:object w:dxaOrig="220" w:dyaOrig="340">
          <v:shape id="_x0000_i1130" type="#_x0000_t75" style="width:11.25pt;height:17.25pt" o:ole="" fillcolor="window">
            <v:imagedata r:id="rId147" o:title=""/>
          </v:shape>
          <o:OLEObject Type="Embed" ProgID="Equation.DSMT4" ShapeID="_x0000_i1130" DrawAspect="Content" ObjectID="_1478976247" r:id="rId150"/>
        </w:object>
      </w:r>
      <w:r w:rsidRPr="00EE52E4">
        <w:rPr>
          <w:color w:val="000000"/>
        </w:rPr>
        <w:t xml:space="preserve"> and </w:t>
      </w:r>
      <w:proofErr w:type="spellStart"/>
      <w:r w:rsidRPr="00EE52E4">
        <w:rPr>
          <w:color w:val="000000"/>
        </w:rPr>
        <w:t>r are</w:t>
      </w:r>
      <w:proofErr w:type="spellEnd"/>
      <w:r w:rsidRPr="00EE52E4">
        <w:rPr>
          <w:color w:val="000000"/>
        </w:rPr>
        <w:t xml:space="preserve"> identical.</w:t>
      </w:r>
      <w:r w:rsidRPr="00EE52E4">
        <w:t xml:space="preserve">  One could also adjust the estimated correlation for estimation bias in small samples (e.g., </w:t>
      </w:r>
      <w:proofErr w:type="spellStart"/>
      <w:r w:rsidRPr="00EE52E4">
        <w:t>Olkin</w:t>
      </w:r>
      <w:proofErr w:type="spellEnd"/>
      <w:r w:rsidRPr="00EE52E4">
        <w:t xml:space="preserve"> &amp; Pratt, 1958). </w:t>
      </w:r>
    </w:p>
    <w:p w:rsidR="000F3E2D" w:rsidRPr="00EE52E4" w:rsidRDefault="000F3E2D" w:rsidP="000F3E2D">
      <w:pPr>
        <w:spacing w:after="120"/>
      </w:pPr>
      <w:proofErr w:type="gramStart"/>
      <w:r>
        <w:rPr>
          <w:vertAlign w:val="superscript"/>
        </w:rPr>
        <w:t>vi</w:t>
      </w:r>
      <w:proofErr w:type="gramEnd"/>
      <w:r w:rsidRPr="00EE52E4">
        <w:t xml:space="preserve"> Hong and Raudenbush first estimated the propensity for a student to be retained using a logistic regression of retention on pretreatment personal, classroom, and school characteristics. </w:t>
      </w:r>
      <w:r w:rsidRPr="00EE52E4">
        <w:lastRenderedPageBreak/>
        <w:t xml:space="preserve">The predicted values from this regression then became the estimated propensity scores. Hong and Raudenbush then divided their sample into fifteen strata by propensity, and then controlled for the stratum, schools as well as the individual logit of propensity in using a two level model to estimate the average effect of retention on achievement (see pages 214-218). </w:t>
      </w:r>
      <w:proofErr w:type="gramStart"/>
      <w:r w:rsidRPr="00EE52E4">
        <w:rPr>
          <w:color w:val="000000"/>
        </w:rPr>
        <w:t>Hong and Raudenbush (2005, Table 4) established common support in terms of balance on propensity scores.</w:t>
      </w:r>
      <w:proofErr w:type="gramEnd"/>
      <w:r w:rsidRPr="00EE52E4">
        <w:rPr>
          <w:color w:val="000000"/>
        </w:rPr>
        <w:t xml:space="preserve"> </w:t>
      </w:r>
    </w:p>
    <w:p w:rsidR="000F3E2D" w:rsidRPr="00EE52E4" w:rsidRDefault="000F3E2D" w:rsidP="000F3E2D">
      <w:pPr>
        <w:widowControl w:val="0"/>
        <w:tabs>
          <w:tab w:val="left" w:pos="360"/>
        </w:tabs>
        <w:spacing w:before="60" w:after="120"/>
      </w:pPr>
      <w:proofErr w:type="gramStart"/>
      <w:r>
        <w:rPr>
          <w:vertAlign w:val="superscript"/>
        </w:rPr>
        <w:t>vii</w:t>
      </w:r>
      <w:proofErr w:type="gramEnd"/>
      <w:r>
        <w:rPr>
          <w:vertAlign w:val="superscript"/>
        </w:rPr>
        <w:t xml:space="preserve"> </w:t>
      </w:r>
      <w:r w:rsidRPr="00EE52E4">
        <w:t xml:space="preserve">We separately estimated the effect of retention is about 2.2 units weaker for an increase of one standard deviation on the pretest, an </w:t>
      </w:r>
      <w:r w:rsidRPr="00EE52E4">
        <w:rPr>
          <w:lang w:eastAsia="zh-CN"/>
        </w:rPr>
        <w:t xml:space="preserve">interaction </w:t>
      </w:r>
      <w:r w:rsidRPr="00EE52E4">
        <w:t>effect that is statistically significant but not strong enough to overwhelm the large negative effect of retention across the sample so we report only the main effect. Also, at the school level, Hong and Raudenbush conclude that “the average effect of adopting a retention policy is null or very small,” (p. 214).</w:t>
      </w:r>
    </w:p>
    <w:p w:rsidR="000F3E2D" w:rsidRPr="00EE52E4" w:rsidRDefault="000F3E2D" w:rsidP="000F3E2D">
      <w:pPr>
        <w:widowControl w:val="0"/>
      </w:pPr>
      <w:proofErr w:type="gramStart"/>
      <w:r>
        <w:rPr>
          <w:vertAlign w:val="superscript"/>
        </w:rPr>
        <w:t>viii</w:t>
      </w:r>
      <w:proofErr w:type="gramEnd"/>
      <w:r w:rsidRPr="00EE52E4">
        <w:t xml:space="preserve"> Figure 4 can also be interpreted in terms of a weighting of the data according to the frequency of occurrence in the replaced cases (shaded area) versus the original distribution (dashed line). For example, a retained student with a test score of 60 would receive a weight of about 2 because there are twice as many cases in the shaded bar than in the dashed line at 60. In general, the inference would be invalid if students who were retained and had high test scores received more weight, and students who were promoted and had low test scores received more weight. Such weights would pull the two groups closer together.  Intuitively, the inference of a negative effect of retention on achievement would be invalid if the students who were retained and received high test scores counted more, and if the students who were promoted but received low test scores counted more.</w:t>
      </w:r>
    </w:p>
    <w:p w:rsidR="000F3E2D" w:rsidRPr="00EE52E4" w:rsidRDefault="000F3E2D" w:rsidP="000F3E2D">
      <w:pPr>
        <w:pStyle w:val="EndnoteText"/>
        <w:ind w:firstLine="0"/>
        <w:rPr>
          <w:sz w:val="24"/>
          <w:szCs w:val="24"/>
        </w:rPr>
      </w:pPr>
      <w:proofErr w:type="gramStart"/>
      <w:r>
        <w:rPr>
          <w:sz w:val="24"/>
          <w:szCs w:val="24"/>
          <w:vertAlign w:val="superscript"/>
        </w:rPr>
        <w:t>ix</w:t>
      </w:r>
      <w:proofErr w:type="gramEnd"/>
      <w:r w:rsidRPr="00EE52E4">
        <w:rPr>
          <w:sz w:val="24"/>
          <w:szCs w:val="24"/>
        </w:rPr>
        <w:t xml:space="preserve"> It can be also valuable to assess the bias necessary to invalidate an inference against the bias reduced by controlling for observed and well recognized covariates (Altonji et al., 2010; Frank, 2000; Rosenbaum, 1986).  For example, we estimated the change in effect of kindergarten retention on achievement when including measures of a child’s emotional state and motivation after controlling for schools as fixed effects, pretests and what Altonji et al. (2010) refer to as “essential” covariates: mother’s education, two parent home, poverty level, gender, and eight racial categories </w:t>
      </w:r>
      <w:r w:rsidRPr="00EE52E4">
        <w:rPr>
          <w:color w:val="000000"/>
          <w:sz w:val="24"/>
          <w:szCs w:val="24"/>
        </w:rPr>
        <w:t>(</w:t>
      </w:r>
      <w:r w:rsidRPr="00EE52E4">
        <w:rPr>
          <w:sz w:val="24"/>
          <w:szCs w:val="24"/>
        </w:rPr>
        <w:t xml:space="preserve">Alexander et al., 2003; Holmes, 1989; </w:t>
      </w:r>
      <w:proofErr w:type="spellStart"/>
      <w:r w:rsidRPr="00EE52E4">
        <w:rPr>
          <w:sz w:val="24"/>
          <w:szCs w:val="24"/>
        </w:rPr>
        <w:t>Jimerson</w:t>
      </w:r>
      <w:proofErr w:type="spellEnd"/>
      <w:r w:rsidRPr="00EE52E4">
        <w:rPr>
          <w:sz w:val="24"/>
          <w:szCs w:val="24"/>
        </w:rPr>
        <w:t xml:space="preserve">, 2001; Shepard &amp; Smith, 1989).  The estimated retention effect dropped from of −9.394 (n=9298 using the weight </w:t>
      </w:r>
      <w:r w:rsidRPr="00EE52E4">
        <w:rPr>
          <w:color w:val="000000"/>
          <w:sz w:val="24"/>
          <w:szCs w:val="24"/>
          <w:shd w:val="clear" w:color="auto" w:fill="FFFFFF"/>
        </w:rPr>
        <w:t>C24CW0</w:t>
      </w:r>
      <w:r w:rsidRPr="00EE52E4">
        <w:rPr>
          <w:sz w:val="24"/>
          <w:szCs w:val="24"/>
        </w:rPr>
        <w:t>, standard error .448, R</w:t>
      </w:r>
      <w:r w:rsidRPr="00EE52E4">
        <w:rPr>
          <w:sz w:val="24"/>
          <w:szCs w:val="24"/>
          <w:vertAlign w:val="superscript"/>
        </w:rPr>
        <w:t>2</w:t>
      </w:r>
      <w:r w:rsidRPr="00EE52E4">
        <w:rPr>
          <w:sz w:val="24"/>
          <w:szCs w:val="24"/>
        </w:rPr>
        <w:t xml:space="preserve"> of .75) to −9.320 (a drop of .074) when we included measures of the child’s approaches to learning (t1learn), teacher’s and parent’s perceptions of the child’s self control (t1contro, p1contro), and the tendency to externalize problems (t2extern).  </w:t>
      </w:r>
    </w:p>
    <w:p w:rsidR="000F3E2D" w:rsidRPr="00EE52E4" w:rsidRDefault="000F3E2D" w:rsidP="000F3E2D">
      <w:pPr>
        <w:pStyle w:val="PlainText"/>
        <w:spacing w:after="120"/>
        <w:rPr>
          <w:rFonts w:ascii="Times New Roman" w:hAnsi="Times New Roman"/>
          <w:sz w:val="24"/>
          <w:szCs w:val="24"/>
        </w:rPr>
      </w:pPr>
      <w:proofErr w:type="gramStart"/>
      <w:r>
        <w:rPr>
          <w:sz w:val="24"/>
          <w:szCs w:val="24"/>
          <w:vertAlign w:val="superscript"/>
        </w:rPr>
        <w:t>x</w:t>
      </w:r>
      <w:proofErr w:type="gramEnd"/>
      <w:r w:rsidRPr="00EE52E4">
        <w:rPr>
          <w:rFonts w:ascii="Times New Roman" w:hAnsi="Times New Roman"/>
          <w:sz w:val="24"/>
          <w:szCs w:val="24"/>
        </w:rPr>
        <w:t xml:space="preserve"> We also follow Altonji et al (2010) in assuming that the unobserved confounds are independent of the observed confounds. Any dependence would reduce the impacts of observed as well as unobserved variables on treatment estimates if all were included in a single model.</w:t>
      </w:r>
    </w:p>
    <w:p w:rsidR="000F3E2D" w:rsidRPr="00EE52E4" w:rsidRDefault="000F3E2D" w:rsidP="000F3E2D">
      <w:proofErr w:type="gramStart"/>
      <w:r>
        <w:rPr>
          <w:vertAlign w:val="superscript"/>
        </w:rPr>
        <w:t>xi</w:t>
      </w:r>
      <w:proofErr w:type="gramEnd"/>
      <w:r w:rsidRPr="00EE52E4">
        <w:t xml:space="preserve"> An (forthcoming) conducts an interesting analysis of the robustness of the results to unmeasured confounders (see </w:t>
      </w:r>
      <w:proofErr w:type="spellStart"/>
      <w:r w:rsidRPr="00EE52E4">
        <w:t>Ichino</w:t>
      </w:r>
      <w:proofErr w:type="spellEnd"/>
      <w:r w:rsidRPr="00EE52E4">
        <w:t>, 2008; as well as Harding’s 2003 adaptation of Frank, 2000).</w:t>
      </w:r>
    </w:p>
    <w:p w:rsidR="00F90262" w:rsidRDefault="00F90262">
      <w:pPr>
        <w:spacing w:line="480" w:lineRule="auto"/>
        <w:sectPr w:rsidR="00F90262" w:rsidSect="00F90262">
          <w:pgSz w:w="12240" w:h="15840" w:code="1"/>
          <w:pgMar w:top="1440" w:right="1440" w:bottom="1440" w:left="1440" w:header="720" w:footer="720" w:gutter="0"/>
          <w:cols w:space="720"/>
          <w:docGrid w:linePitch="360"/>
        </w:sectPr>
      </w:pPr>
    </w:p>
    <w:p w:rsidR="00222B9D" w:rsidRDefault="00222B9D">
      <w:pPr>
        <w:spacing w:line="480" w:lineRule="auto"/>
      </w:pPr>
      <w:r>
        <w:lastRenderedPageBreak/>
        <w:t>Table 1</w:t>
      </w:r>
    </w:p>
    <w:p w:rsidR="00222B9D" w:rsidRDefault="00222B9D">
      <w:r>
        <w:rPr>
          <w:lang w:eastAsia="zh-CN"/>
        </w:rPr>
        <w:t xml:space="preserve">Quantifying the Robustness of Inferences from </w:t>
      </w:r>
      <w:r>
        <w:t>Randomized Experiments</w:t>
      </w:r>
    </w:p>
    <w:tbl>
      <w:tblPr>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1620"/>
        <w:gridCol w:w="1260"/>
        <w:gridCol w:w="1440"/>
        <w:gridCol w:w="1800"/>
        <w:gridCol w:w="1980"/>
        <w:gridCol w:w="1440"/>
        <w:gridCol w:w="1980"/>
      </w:tblGrid>
      <w:tr w:rsidR="00222B9D" w:rsidTr="00730B02">
        <w:tc>
          <w:tcPr>
            <w:tcW w:w="2448" w:type="dxa"/>
            <w:tcBorders>
              <w:bottom w:val="single" w:sz="18" w:space="0" w:color="auto"/>
            </w:tcBorders>
          </w:tcPr>
          <w:p w:rsidR="00222B9D" w:rsidRDefault="00222B9D">
            <w:r>
              <w:t>Study</w:t>
            </w:r>
          </w:p>
          <w:p w:rsidR="00222B9D" w:rsidRDefault="00222B9D">
            <w:r>
              <w:t>(author, year)</w:t>
            </w:r>
          </w:p>
        </w:tc>
        <w:tc>
          <w:tcPr>
            <w:tcW w:w="1620" w:type="dxa"/>
            <w:tcBorders>
              <w:bottom w:val="single" w:sz="18" w:space="0" w:color="auto"/>
            </w:tcBorders>
          </w:tcPr>
          <w:p w:rsidR="00222B9D" w:rsidRDefault="00222B9D">
            <w:pPr>
              <w:ind w:left="72" w:right="-108"/>
            </w:pPr>
            <w:r>
              <w:t>Treatment vs Control</w:t>
            </w:r>
          </w:p>
        </w:tc>
        <w:tc>
          <w:tcPr>
            <w:tcW w:w="1260" w:type="dxa"/>
            <w:tcBorders>
              <w:bottom w:val="single" w:sz="18" w:space="0" w:color="auto"/>
            </w:tcBorders>
          </w:tcPr>
          <w:p w:rsidR="00222B9D" w:rsidRDefault="00222B9D">
            <w:pPr>
              <w:ind w:left="72" w:right="-108"/>
            </w:pPr>
            <w:r>
              <w:t>Blocking</w:t>
            </w:r>
          </w:p>
        </w:tc>
        <w:tc>
          <w:tcPr>
            <w:tcW w:w="1440" w:type="dxa"/>
            <w:tcBorders>
              <w:bottom w:val="single" w:sz="18" w:space="0" w:color="auto"/>
            </w:tcBorders>
          </w:tcPr>
          <w:p w:rsidR="00222B9D" w:rsidRDefault="00222B9D">
            <w:pPr>
              <w:ind w:left="72" w:right="-108"/>
            </w:pPr>
            <w:r>
              <w:t>Population</w:t>
            </w:r>
          </w:p>
        </w:tc>
        <w:tc>
          <w:tcPr>
            <w:tcW w:w="1800" w:type="dxa"/>
            <w:tcBorders>
              <w:bottom w:val="single" w:sz="18" w:space="0" w:color="auto"/>
            </w:tcBorders>
          </w:tcPr>
          <w:p w:rsidR="00222B9D" w:rsidRDefault="00222B9D">
            <w:pPr>
              <w:ind w:left="72" w:right="-108"/>
            </w:pPr>
            <w:r>
              <w:t xml:space="preserve">Outcome </w:t>
            </w:r>
          </w:p>
        </w:tc>
        <w:tc>
          <w:tcPr>
            <w:tcW w:w="1980" w:type="dxa"/>
            <w:tcBorders>
              <w:bottom w:val="single" w:sz="18" w:space="0" w:color="auto"/>
            </w:tcBorders>
          </w:tcPr>
          <w:p w:rsidR="00222B9D" w:rsidRDefault="00222B9D">
            <w:pPr>
              <w:ind w:left="72" w:right="-108"/>
            </w:pPr>
            <w:r>
              <w:t>Estimated effect, standard error, source</w:t>
            </w:r>
          </w:p>
        </w:tc>
        <w:tc>
          <w:tcPr>
            <w:tcW w:w="1440" w:type="dxa"/>
            <w:tcBorders>
              <w:bottom w:val="single" w:sz="18" w:space="0" w:color="auto"/>
            </w:tcBorders>
          </w:tcPr>
          <w:p w:rsidR="00222B9D" w:rsidRDefault="00222B9D">
            <w:pPr>
              <w:ind w:left="72" w:right="-108"/>
            </w:pPr>
            <w:r>
              <w:t>Effect size</w:t>
            </w:r>
          </w:p>
          <w:p w:rsidR="00222B9D" w:rsidRDefault="00222B9D">
            <w:pPr>
              <w:ind w:left="72" w:right="-108"/>
            </w:pPr>
            <w:r>
              <w:t>(correlation)</w:t>
            </w:r>
          </w:p>
        </w:tc>
        <w:tc>
          <w:tcPr>
            <w:tcW w:w="1980" w:type="dxa"/>
            <w:tcBorders>
              <w:bottom w:val="single" w:sz="18" w:space="0" w:color="auto"/>
            </w:tcBorders>
          </w:tcPr>
          <w:p w:rsidR="00222B9D" w:rsidRDefault="00222B9D">
            <w:pPr>
              <w:ind w:left="72" w:right="-108"/>
            </w:pPr>
            <w:r>
              <w:t>% bias to make the inference invalid</w:t>
            </w:r>
          </w:p>
        </w:tc>
      </w:tr>
      <w:tr w:rsidR="00222B9D" w:rsidTr="00730B02">
        <w:tc>
          <w:tcPr>
            <w:tcW w:w="2448" w:type="dxa"/>
            <w:tcBorders>
              <w:top w:val="single" w:sz="18" w:space="0" w:color="auto"/>
            </w:tcBorders>
          </w:tcPr>
          <w:p w:rsidR="00222B9D" w:rsidRDefault="00222B9D">
            <w:r>
              <w:t>A multi-site cluster randomized field trial of Open Court Reading</w:t>
            </w:r>
          </w:p>
          <w:p w:rsidR="00222B9D" w:rsidRDefault="00222B9D">
            <w:r>
              <w:t>(Borman et al., 2008)</w:t>
            </w:r>
          </w:p>
        </w:tc>
        <w:tc>
          <w:tcPr>
            <w:tcW w:w="1620" w:type="dxa"/>
            <w:tcBorders>
              <w:top w:val="single" w:sz="18" w:space="0" w:color="auto"/>
            </w:tcBorders>
          </w:tcPr>
          <w:p w:rsidR="00222B9D" w:rsidRDefault="00222B9D">
            <w:pPr>
              <w:ind w:left="72" w:right="-108"/>
            </w:pPr>
            <w:r>
              <w:t>Open Court curriculum versus business as usual</w:t>
            </w:r>
          </w:p>
        </w:tc>
        <w:tc>
          <w:tcPr>
            <w:tcW w:w="1260" w:type="dxa"/>
            <w:tcBorders>
              <w:top w:val="single" w:sz="18" w:space="0" w:color="auto"/>
            </w:tcBorders>
          </w:tcPr>
          <w:p w:rsidR="00222B9D" w:rsidRDefault="00222B9D">
            <w:pPr>
              <w:ind w:left="72" w:right="-108"/>
            </w:pPr>
            <w:r>
              <w:t>Within grade and school</w:t>
            </w:r>
          </w:p>
        </w:tc>
        <w:tc>
          <w:tcPr>
            <w:tcW w:w="1440" w:type="dxa"/>
            <w:tcBorders>
              <w:top w:val="single" w:sz="18" w:space="0" w:color="auto"/>
            </w:tcBorders>
          </w:tcPr>
          <w:p w:rsidR="00222B9D" w:rsidRDefault="00222B9D">
            <w:pPr>
              <w:ind w:left="72" w:right="-108"/>
            </w:pPr>
            <w:r>
              <w:t>917 students in 49 classrooms</w:t>
            </w:r>
          </w:p>
        </w:tc>
        <w:tc>
          <w:tcPr>
            <w:tcW w:w="1800" w:type="dxa"/>
            <w:tcBorders>
              <w:top w:val="single" w:sz="18" w:space="0" w:color="auto"/>
            </w:tcBorders>
          </w:tcPr>
          <w:p w:rsidR="00222B9D" w:rsidRDefault="00222B9D">
            <w:pPr>
              <w:ind w:left="72" w:right="-108"/>
            </w:pPr>
            <w:r>
              <w:t xml:space="preserve">Terra Nova comprehensive reading score </w:t>
            </w:r>
          </w:p>
        </w:tc>
        <w:tc>
          <w:tcPr>
            <w:tcW w:w="1980" w:type="dxa"/>
            <w:tcBorders>
              <w:top w:val="single" w:sz="18" w:space="0" w:color="auto"/>
            </w:tcBorders>
          </w:tcPr>
          <w:p w:rsidR="00222B9D" w:rsidRDefault="00222B9D">
            <w:pPr>
              <w:ind w:left="72" w:right="-108"/>
            </w:pPr>
            <w:r>
              <w:t>7.95</w:t>
            </w:r>
          </w:p>
          <w:p w:rsidR="00222B9D" w:rsidRDefault="00222B9D">
            <w:pPr>
              <w:ind w:left="72" w:right="-108"/>
            </w:pPr>
            <w:r>
              <w:t>(1.83)</w:t>
            </w:r>
          </w:p>
          <w:p w:rsidR="00222B9D" w:rsidRDefault="00222B9D">
            <w:pPr>
              <w:ind w:left="72" w:right="-108"/>
            </w:pPr>
            <w:r>
              <w:t>Table 4, results for reading composite score</w:t>
            </w:r>
          </w:p>
        </w:tc>
        <w:tc>
          <w:tcPr>
            <w:tcW w:w="1440" w:type="dxa"/>
            <w:tcBorders>
              <w:top w:val="single" w:sz="18" w:space="0" w:color="auto"/>
            </w:tcBorders>
          </w:tcPr>
          <w:p w:rsidR="00222B9D" w:rsidRDefault="00222B9D">
            <w:pPr>
              <w:ind w:left="72" w:right="-108"/>
            </w:pPr>
            <w:r>
              <w:t>.16</w:t>
            </w:r>
          </w:p>
          <w:p w:rsidR="00222B9D" w:rsidRDefault="00222B9D">
            <w:pPr>
              <w:ind w:left="72" w:right="-108"/>
            </w:pPr>
            <w:r>
              <w:t>(.54)</w:t>
            </w:r>
          </w:p>
        </w:tc>
        <w:tc>
          <w:tcPr>
            <w:tcW w:w="1980" w:type="dxa"/>
            <w:tcBorders>
              <w:top w:val="single" w:sz="18" w:space="0" w:color="auto"/>
            </w:tcBorders>
          </w:tcPr>
          <w:p w:rsidR="00222B9D" w:rsidRDefault="00222B9D">
            <w:pPr>
              <w:ind w:left="72" w:right="-108"/>
            </w:pPr>
            <w:r>
              <w:t>47%</w:t>
            </w:r>
          </w:p>
        </w:tc>
      </w:tr>
      <w:tr w:rsidR="00222B9D" w:rsidTr="00730B02">
        <w:tc>
          <w:tcPr>
            <w:tcW w:w="2448" w:type="dxa"/>
          </w:tcPr>
          <w:p w:rsidR="00222B9D" w:rsidRDefault="00222B9D">
            <w:r>
              <w:t xml:space="preserve">Answers and questions about class size: A statewide experiment </w:t>
            </w:r>
          </w:p>
          <w:p w:rsidR="00222B9D" w:rsidRDefault="00222B9D" w:rsidP="00FD76E7">
            <w:r>
              <w:t xml:space="preserve">(Finn </w:t>
            </w:r>
            <w:r w:rsidR="00FD76E7">
              <w:t>&amp;</w:t>
            </w:r>
            <w:r>
              <w:t xml:space="preserve"> Achilles, 1990)</w:t>
            </w:r>
          </w:p>
        </w:tc>
        <w:tc>
          <w:tcPr>
            <w:tcW w:w="1620" w:type="dxa"/>
          </w:tcPr>
          <w:p w:rsidR="00222B9D" w:rsidRDefault="00222B9D">
            <w:pPr>
              <w:ind w:left="72" w:right="-108"/>
            </w:pPr>
            <w:r>
              <w:rPr>
                <w:lang w:eastAsia="zh-CN"/>
              </w:rPr>
              <w:t>S</w:t>
            </w:r>
            <w:r>
              <w:t xml:space="preserve">mall classes versus all others </w:t>
            </w:r>
          </w:p>
        </w:tc>
        <w:tc>
          <w:tcPr>
            <w:tcW w:w="1260" w:type="dxa"/>
          </w:tcPr>
          <w:p w:rsidR="00222B9D" w:rsidRDefault="00222B9D">
            <w:pPr>
              <w:ind w:left="72" w:right="-108"/>
            </w:pPr>
            <w:r>
              <w:t>By school</w:t>
            </w:r>
          </w:p>
        </w:tc>
        <w:tc>
          <w:tcPr>
            <w:tcW w:w="1440" w:type="dxa"/>
          </w:tcPr>
          <w:p w:rsidR="00222B9D" w:rsidRDefault="00222B9D">
            <w:pPr>
              <w:ind w:left="72" w:right="-108"/>
            </w:pPr>
            <w:r>
              <w:t>6500 students in 328 classrooms</w:t>
            </w:r>
          </w:p>
        </w:tc>
        <w:tc>
          <w:tcPr>
            <w:tcW w:w="1800" w:type="dxa"/>
          </w:tcPr>
          <w:p w:rsidR="00222B9D" w:rsidRDefault="00222B9D">
            <w:pPr>
              <w:ind w:left="72" w:right="-108"/>
            </w:pPr>
            <w:r>
              <w:t>Stanford Achievement Test, reading</w:t>
            </w:r>
          </w:p>
        </w:tc>
        <w:tc>
          <w:tcPr>
            <w:tcW w:w="1980" w:type="dxa"/>
          </w:tcPr>
          <w:p w:rsidR="00222B9D" w:rsidRDefault="00222B9D">
            <w:pPr>
              <w:ind w:left="72" w:right="-108"/>
            </w:pPr>
            <w:r>
              <w:t xml:space="preserve">13.14 </w:t>
            </w:r>
          </w:p>
          <w:p w:rsidR="00222B9D" w:rsidRDefault="00222B9D">
            <w:pPr>
              <w:ind w:left="72" w:right="-108"/>
            </w:pPr>
            <w:r>
              <w:t>(2.34)</w:t>
            </w:r>
          </w:p>
          <w:p w:rsidR="00222B9D" w:rsidRDefault="00222B9D">
            <w:pPr>
              <w:ind w:left="72" w:right="-108"/>
            </w:pPr>
            <w:r>
              <w:t>Table 5</w:t>
            </w:r>
          </w:p>
          <w:p w:rsidR="00222B9D" w:rsidRDefault="00222B9D">
            <w:pPr>
              <w:ind w:left="72" w:right="-108"/>
            </w:pPr>
            <w:proofErr w:type="gramStart"/>
            <w:r>
              <w:t>mean</w:t>
            </w:r>
            <w:proofErr w:type="gramEnd"/>
            <w:r>
              <w:t xml:space="preserve"> for other classes is based on the </w:t>
            </w:r>
            <w:r>
              <w:rPr>
                <w:color w:val="000000"/>
              </w:rPr>
              <w:t xml:space="preserve">regular </w:t>
            </w:r>
            <w:r>
              <w:t xml:space="preserve">and aide classes combined proportional to their sample sizes.  </w:t>
            </w:r>
          </w:p>
        </w:tc>
        <w:tc>
          <w:tcPr>
            <w:tcW w:w="1440" w:type="dxa"/>
          </w:tcPr>
          <w:p w:rsidR="00222B9D" w:rsidRDefault="00222B9D">
            <w:pPr>
              <w:ind w:left="72" w:right="-108"/>
            </w:pPr>
            <w:r>
              <w:t>.23</w:t>
            </w:r>
          </w:p>
          <w:p w:rsidR="00222B9D" w:rsidRDefault="00222B9D">
            <w:pPr>
              <w:ind w:left="72" w:right="-108"/>
            </w:pPr>
            <w:r>
              <w:t>(.30)</w:t>
            </w:r>
          </w:p>
        </w:tc>
        <w:tc>
          <w:tcPr>
            <w:tcW w:w="1980" w:type="dxa"/>
          </w:tcPr>
          <w:p w:rsidR="00222B9D" w:rsidRDefault="00222B9D">
            <w:pPr>
              <w:ind w:left="72" w:right="-108"/>
            </w:pPr>
            <w:r>
              <w:t>64%</w:t>
            </w:r>
          </w:p>
        </w:tc>
      </w:tr>
      <w:tr w:rsidR="00222B9D" w:rsidTr="00730B02">
        <w:trPr>
          <w:trHeight w:val="1178"/>
        </w:trPr>
        <w:tc>
          <w:tcPr>
            <w:tcW w:w="2448" w:type="dxa"/>
          </w:tcPr>
          <w:p w:rsidR="00222B9D" w:rsidRDefault="00222B9D">
            <w:r>
              <w:t>Experimental Evaluation of the Effects of a Research-based Preschool Mathematics Curriculum</w:t>
            </w:r>
          </w:p>
          <w:p w:rsidR="00222B9D" w:rsidRDefault="00222B9D" w:rsidP="00FD76E7">
            <w:r>
              <w:t xml:space="preserve">(Clements </w:t>
            </w:r>
            <w:r w:rsidR="00FD76E7">
              <w:t xml:space="preserve">&amp; </w:t>
            </w:r>
            <w:proofErr w:type="spellStart"/>
            <w:r>
              <w:t>Sarama</w:t>
            </w:r>
            <w:proofErr w:type="spellEnd"/>
            <w:r>
              <w:t>, 2008)</w:t>
            </w:r>
          </w:p>
        </w:tc>
        <w:tc>
          <w:tcPr>
            <w:tcW w:w="1620" w:type="dxa"/>
          </w:tcPr>
          <w:p w:rsidR="00222B9D" w:rsidRDefault="00222B9D">
            <w:pPr>
              <w:ind w:left="72" w:right="-108"/>
            </w:pPr>
            <w:r>
              <w:t xml:space="preserve">Building </w:t>
            </w:r>
            <w:r>
              <w:rPr>
                <w:lang w:eastAsia="zh-CN"/>
              </w:rPr>
              <w:t>B</w:t>
            </w:r>
            <w:r>
              <w:t>locks research to practice curriculum versus alternate math intensive curriculum</w:t>
            </w:r>
          </w:p>
        </w:tc>
        <w:tc>
          <w:tcPr>
            <w:tcW w:w="1260" w:type="dxa"/>
          </w:tcPr>
          <w:p w:rsidR="00222B9D" w:rsidRDefault="00222B9D">
            <w:pPr>
              <w:ind w:left="72" w:right="-108"/>
            </w:pPr>
            <w:r>
              <w:t>By program type</w:t>
            </w:r>
          </w:p>
        </w:tc>
        <w:tc>
          <w:tcPr>
            <w:tcW w:w="1440" w:type="dxa"/>
          </w:tcPr>
          <w:p w:rsidR="00222B9D" w:rsidRDefault="00222B9D">
            <w:pPr>
              <w:ind w:left="72" w:right="-108"/>
            </w:pPr>
            <w:r>
              <w:t>276 children within 35 classrooms randomly sampled from volunteers within income strata</w:t>
            </w:r>
          </w:p>
          <w:p w:rsidR="00222B9D" w:rsidRDefault="00222B9D">
            <w:pPr>
              <w:ind w:left="72" w:right="-108"/>
            </w:pPr>
          </w:p>
        </w:tc>
        <w:tc>
          <w:tcPr>
            <w:tcW w:w="1800" w:type="dxa"/>
          </w:tcPr>
          <w:p w:rsidR="00222B9D" w:rsidRDefault="00222B9D">
            <w:pPr>
              <w:ind w:left="72" w:right="-108"/>
            </w:pPr>
            <w:r>
              <w:t>Change in Early Mathematics Childhood Assessment IRT scale score (mean=50, std=10)</w:t>
            </w:r>
          </w:p>
        </w:tc>
        <w:tc>
          <w:tcPr>
            <w:tcW w:w="1980" w:type="dxa"/>
          </w:tcPr>
          <w:p w:rsidR="00222B9D" w:rsidRDefault="00222B9D">
            <w:pPr>
              <w:ind w:left="72" w:right="-108"/>
            </w:pPr>
            <w:r>
              <w:t>3.55</w:t>
            </w:r>
          </w:p>
          <w:p w:rsidR="00222B9D" w:rsidRDefault="00222B9D">
            <w:pPr>
              <w:ind w:left="72" w:right="-108"/>
            </w:pPr>
            <w:r>
              <w:t>(1.16)</w:t>
            </w:r>
          </w:p>
          <w:p w:rsidR="00222B9D" w:rsidRDefault="00222B9D">
            <w:pPr>
              <w:ind w:left="72" w:right="-108"/>
            </w:pPr>
            <w:r>
              <w:t>Building Blocks vs comparison group Table 6 (</w:t>
            </w:r>
            <w:proofErr w:type="spellStart"/>
            <w:r>
              <w:t>df</w:t>
            </w:r>
            <w:proofErr w:type="spellEnd"/>
            <w:r>
              <w:t xml:space="preserve"> of 19 used based on footnote b)</w:t>
            </w:r>
          </w:p>
        </w:tc>
        <w:tc>
          <w:tcPr>
            <w:tcW w:w="1440" w:type="dxa"/>
          </w:tcPr>
          <w:p w:rsidR="00222B9D" w:rsidRDefault="00222B9D">
            <w:pPr>
              <w:ind w:left="72" w:right="-108"/>
            </w:pPr>
            <w:r>
              <w:t>.5</w:t>
            </w:r>
          </w:p>
          <w:p w:rsidR="00222B9D" w:rsidRDefault="00222B9D">
            <w:pPr>
              <w:ind w:left="72" w:right="-108"/>
            </w:pPr>
            <w:r>
              <w:t>(.60)</w:t>
            </w:r>
          </w:p>
        </w:tc>
        <w:tc>
          <w:tcPr>
            <w:tcW w:w="1980" w:type="dxa"/>
          </w:tcPr>
          <w:p w:rsidR="00222B9D" w:rsidRDefault="00222B9D">
            <w:pPr>
              <w:ind w:left="72" w:right="-108"/>
            </w:pPr>
            <w:r>
              <w:t>31%</w:t>
            </w:r>
          </w:p>
        </w:tc>
      </w:tr>
    </w:tbl>
    <w:p w:rsidR="00222B9D" w:rsidRDefault="00222B9D">
      <w:pPr>
        <w:pStyle w:val="FootnoteText"/>
        <w:widowControl w:val="0"/>
        <w:spacing w:line="480" w:lineRule="auto"/>
        <w:ind w:hanging="540"/>
        <w:rPr>
          <w:sz w:val="24"/>
        </w:rPr>
      </w:pPr>
      <w:r>
        <w:rPr>
          <w:sz w:val="24"/>
        </w:rPr>
        <w:br w:type="page"/>
      </w:r>
      <w:r>
        <w:rPr>
          <w:sz w:val="24"/>
        </w:rPr>
        <w:lastRenderedPageBreak/>
        <w:t>Table 2</w:t>
      </w:r>
    </w:p>
    <w:p w:rsidR="00222B9D" w:rsidRDefault="00222B9D">
      <w:pPr>
        <w:pStyle w:val="FootnoteText"/>
        <w:widowControl w:val="0"/>
        <w:spacing w:line="480" w:lineRule="auto"/>
        <w:ind w:hanging="540"/>
        <w:rPr>
          <w:sz w:val="24"/>
        </w:rPr>
      </w:pPr>
      <w:r w:rsidRPr="006A7CDD">
        <w:rPr>
          <w:sz w:val="24"/>
          <w:szCs w:val="24"/>
          <w:lang w:eastAsia="zh-CN"/>
        </w:rPr>
        <w:t>Quantifying the Robustness of Inferences from</w:t>
      </w:r>
      <w:r>
        <w:rPr>
          <w:lang w:eastAsia="zh-CN"/>
        </w:rPr>
        <w:t xml:space="preserve"> </w:t>
      </w:r>
      <w:r>
        <w:rPr>
          <w:sz w:val="24"/>
        </w:rPr>
        <w:t>Observational Studies</w:t>
      </w:r>
    </w:p>
    <w:tbl>
      <w:tblPr>
        <w:tblW w:w="145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0"/>
        <w:gridCol w:w="1980"/>
        <w:gridCol w:w="1440"/>
        <w:gridCol w:w="1800"/>
        <w:gridCol w:w="1260"/>
        <w:gridCol w:w="1980"/>
        <w:gridCol w:w="1440"/>
        <w:gridCol w:w="1980"/>
      </w:tblGrid>
      <w:tr w:rsidR="00222B9D">
        <w:tc>
          <w:tcPr>
            <w:tcW w:w="2700" w:type="dxa"/>
          </w:tcPr>
          <w:p w:rsidR="00222B9D" w:rsidRDefault="00222B9D">
            <w:r>
              <w:t>Study</w:t>
            </w:r>
          </w:p>
          <w:p w:rsidR="00222B9D" w:rsidRDefault="00222B9D">
            <w:r>
              <w:t>(author, year)</w:t>
            </w:r>
          </w:p>
          <w:p w:rsidR="00222B9D" w:rsidRDefault="00222B9D"/>
        </w:tc>
        <w:tc>
          <w:tcPr>
            <w:tcW w:w="1980" w:type="dxa"/>
          </w:tcPr>
          <w:p w:rsidR="00222B9D" w:rsidRDefault="00222B9D">
            <w:r>
              <w:t>Predictor of interest</w:t>
            </w:r>
          </w:p>
        </w:tc>
        <w:tc>
          <w:tcPr>
            <w:tcW w:w="1440" w:type="dxa"/>
          </w:tcPr>
          <w:p w:rsidR="00222B9D" w:rsidRDefault="00F90EA1" w:rsidP="00F90EA1">
            <w:r>
              <w:t xml:space="preserve">Condition on </w:t>
            </w:r>
            <w:r w:rsidR="00222B9D">
              <w:t>pretest</w:t>
            </w:r>
          </w:p>
        </w:tc>
        <w:tc>
          <w:tcPr>
            <w:tcW w:w="1800" w:type="dxa"/>
          </w:tcPr>
          <w:p w:rsidR="00222B9D" w:rsidRDefault="00222B9D">
            <w:r>
              <w:t>Population</w:t>
            </w:r>
          </w:p>
        </w:tc>
        <w:tc>
          <w:tcPr>
            <w:tcW w:w="1260" w:type="dxa"/>
          </w:tcPr>
          <w:p w:rsidR="00222B9D" w:rsidRDefault="00222B9D">
            <w:r>
              <w:t xml:space="preserve">Outcome </w:t>
            </w:r>
          </w:p>
        </w:tc>
        <w:tc>
          <w:tcPr>
            <w:tcW w:w="1980" w:type="dxa"/>
          </w:tcPr>
          <w:p w:rsidR="00222B9D" w:rsidRDefault="00222B9D">
            <w:r>
              <w:t>Estimated effect, standard error, source</w:t>
            </w:r>
          </w:p>
        </w:tc>
        <w:tc>
          <w:tcPr>
            <w:tcW w:w="1440" w:type="dxa"/>
          </w:tcPr>
          <w:p w:rsidR="00222B9D" w:rsidRDefault="00222B9D">
            <w:r>
              <w:t>Effect size</w:t>
            </w:r>
          </w:p>
          <w:p w:rsidR="00222B9D" w:rsidRDefault="00222B9D">
            <w:r>
              <w:t xml:space="preserve">(correlation) </w:t>
            </w:r>
          </w:p>
        </w:tc>
        <w:tc>
          <w:tcPr>
            <w:tcW w:w="1980" w:type="dxa"/>
          </w:tcPr>
          <w:p w:rsidR="00222B9D" w:rsidRDefault="00222B9D">
            <w:r>
              <w:t>% bias to make inference invalid</w:t>
            </w:r>
          </w:p>
        </w:tc>
      </w:tr>
      <w:tr w:rsidR="00222B9D">
        <w:tc>
          <w:tcPr>
            <w:tcW w:w="2700" w:type="dxa"/>
          </w:tcPr>
          <w:p w:rsidR="00222B9D" w:rsidRDefault="00222B9D">
            <w:r>
              <w:t>Effects of kindergarten retention policy on children’s cognitive growth in reading and mathematics</w:t>
            </w:r>
          </w:p>
          <w:p w:rsidR="00222B9D" w:rsidRDefault="00222B9D" w:rsidP="00FD76E7">
            <w:pPr>
              <w:rPr>
                <w:lang w:eastAsia="zh-CN"/>
              </w:rPr>
            </w:pPr>
            <w:r>
              <w:rPr>
                <w:lang w:eastAsia="zh-CN"/>
              </w:rPr>
              <w:t>(</w:t>
            </w:r>
            <w:r>
              <w:t xml:space="preserve">Hong </w:t>
            </w:r>
            <w:r w:rsidR="00FD76E7">
              <w:t xml:space="preserve">&amp; </w:t>
            </w:r>
            <w:r>
              <w:t>Raudenbush, 2005</w:t>
            </w:r>
            <w:r>
              <w:rPr>
                <w:lang w:eastAsia="zh-CN"/>
              </w:rPr>
              <w:t>)</w:t>
            </w:r>
          </w:p>
        </w:tc>
        <w:tc>
          <w:tcPr>
            <w:tcW w:w="1980" w:type="dxa"/>
          </w:tcPr>
          <w:p w:rsidR="00222B9D" w:rsidRDefault="00222B9D">
            <w:r>
              <w:t>Kindergarten retention versus promotion</w:t>
            </w:r>
          </w:p>
        </w:tc>
        <w:tc>
          <w:tcPr>
            <w:tcW w:w="1440" w:type="dxa"/>
          </w:tcPr>
          <w:p w:rsidR="00222B9D" w:rsidRDefault="00222B9D">
            <w:r>
              <w:t>Multiple</w:t>
            </w:r>
          </w:p>
        </w:tc>
        <w:tc>
          <w:tcPr>
            <w:tcW w:w="1800" w:type="dxa"/>
          </w:tcPr>
          <w:p w:rsidR="00222B9D" w:rsidRDefault="00222B9D">
            <w:r>
              <w:t>7639 kindergarteners in 1080 retention schools in ECLS-K</w:t>
            </w:r>
          </w:p>
        </w:tc>
        <w:tc>
          <w:tcPr>
            <w:tcW w:w="1260" w:type="dxa"/>
          </w:tcPr>
          <w:p w:rsidR="00222B9D" w:rsidRDefault="00222B9D">
            <w:r>
              <w:t>ECLS-K Reading IRT scale score</w:t>
            </w:r>
          </w:p>
        </w:tc>
        <w:tc>
          <w:tcPr>
            <w:tcW w:w="1980" w:type="dxa"/>
          </w:tcPr>
          <w:p w:rsidR="00222B9D" w:rsidRDefault="00222B9D">
            <w:r>
              <w:t>9</w:t>
            </w:r>
          </w:p>
          <w:p w:rsidR="00222B9D" w:rsidRDefault="00222B9D">
            <w:r>
              <w:t>(.68)</w:t>
            </w:r>
          </w:p>
          <w:p w:rsidR="00222B9D" w:rsidRDefault="00222B9D">
            <w:r>
              <w:t>Table 11, model based estimate</w:t>
            </w:r>
          </w:p>
        </w:tc>
        <w:tc>
          <w:tcPr>
            <w:tcW w:w="1440" w:type="dxa"/>
          </w:tcPr>
          <w:p w:rsidR="00222B9D" w:rsidRDefault="00222B9D">
            <w:r>
              <w:t>.67</w:t>
            </w:r>
          </w:p>
          <w:p w:rsidR="00222B9D" w:rsidRDefault="00222B9D">
            <w:r>
              <w:t>(.14)</w:t>
            </w:r>
          </w:p>
        </w:tc>
        <w:tc>
          <w:tcPr>
            <w:tcW w:w="1980" w:type="dxa"/>
          </w:tcPr>
          <w:p w:rsidR="00222B9D" w:rsidRDefault="00222B9D">
            <w:r>
              <w:t>85%</w:t>
            </w:r>
          </w:p>
          <w:p w:rsidR="00222B9D" w:rsidRDefault="00222B9D"/>
        </w:tc>
      </w:tr>
      <w:tr w:rsidR="00222B9D">
        <w:tc>
          <w:tcPr>
            <w:tcW w:w="2700" w:type="dxa"/>
          </w:tcPr>
          <w:p w:rsidR="00222B9D" w:rsidRDefault="00222B9D">
            <w:r>
              <w:t>Counterfactuals, causal effect heterogeneity, and the Catholic school effect on learning,</w:t>
            </w:r>
          </w:p>
          <w:p w:rsidR="00222B9D" w:rsidRDefault="00222B9D">
            <w:pPr>
              <w:rPr>
                <w:lang w:eastAsia="zh-CN"/>
              </w:rPr>
            </w:pPr>
            <w:r>
              <w:rPr>
                <w:lang w:eastAsia="zh-CN"/>
              </w:rPr>
              <w:t>(</w:t>
            </w:r>
            <w:r>
              <w:t>Morgan, 2001</w:t>
            </w:r>
            <w:r>
              <w:rPr>
                <w:lang w:eastAsia="zh-CN"/>
              </w:rPr>
              <w:t>)</w:t>
            </w:r>
          </w:p>
        </w:tc>
        <w:tc>
          <w:tcPr>
            <w:tcW w:w="1980" w:type="dxa"/>
          </w:tcPr>
          <w:p w:rsidR="00222B9D" w:rsidRDefault="00222B9D">
            <w:r>
              <w:t>Catholic versus public school</w:t>
            </w:r>
          </w:p>
        </w:tc>
        <w:tc>
          <w:tcPr>
            <w:tcW w:w="1440" w:type="dxa"/>
          </w:tcPr>
          <w:p w:rsidR="00222B9D" w:rsidRDefault="00222B9D">
            <w:r>
              <w:t>Single</w:t>
            </w:r>
          </w:p>
        </w:tc>
        <w:tc>
          <w:tcPr>
            <w:tcW w:w="1800" w:type="dxa"/>
          </w:tcPr>
          <w:p w:rsidR="00222B9D" w:rsidRDefault="00222B9D">
            <w:r>
              <w:t>10835 high school students nested within 973 schools in NELS</w:t>
            </w:r>
          </w:p>
        </w:tc>
        <w:tc>
          <w:tcPr>
            <w:tcW w:w="1260" w:type="dxa"/>
          </w:tcPr>
          <w:p w:rsidR="00222B9D" w:rsidRDefault="00222B9D">
            <w:r>
              <w:t>NELS Math IRT scale score</w:t>
            </w:r>
          </w:p>
        </w:tc>
        <w:tc>
          <w:tcPr>
            <w:tcW w:w="1980" w:type="dxa"/>
          </w:tcPr>
          <w:p w:rsidR="00222B9D" w:rsidRDefault="00222B9D">
            <w:r>
              <w:t>.99</w:t>
            </w:r>
          </w:p>
          <w:p w:rsidR="00222B9D" w:rsidRDefault="00222B9D">
            <w:r>
              <w:t>(.33)</w:t>
            </w:r>
          </w:p>
          <w:p w:rsidR="00222B9D" w:rsidRDefault="00222B9D">
            <w:r>
              <w:t>Table 1, (model with pretest + family background)</w:t>
            </w:r>
          </w:p>
        </w:tc>
        <w:tc>
          <w:tcPr>
            <w:tcW w:w="1440" w:type="dxa"/>
          </w:tcPr>
          <w:p w:rsidR="00222B9D" w:rsidRDefault="00222B9D">
            <w:r>
              <w:t>.23</w:t>
            </w:r>
          </w:p>
          <w:p w:rsidR="00222B9D" w:rsidRDefault="00222B9D">
            <w:r>
              <w:t>(.10)</w:t>
            </w:r>
          </w:p>
        </w:tc>
        <w:tc>
          <w:tcPr>
            <w:tcW w:w="1980" w:type="dxa"/>
          </w:tcPr>
          <w:p w:rsidR="00222B9D" w:rsidRDefault="00222B9D">
            <w:r>
              <w:t>34%</w:t>
            </w:r>
          </w:p>
          <w:p w:rsidR="00222B9D" w:rsidRDefault="00222B9D"/>
        </w:tc>
      </w:tr>
      <w:tr w:rsidR="00222B9D">
        <w:tc>
          <w:tcPr>
            <w:tcW w:w="2700" w:type="dxa"/>
          </w:tcPr>
          <w:p w:rsidR="00222B9D" w:rsidRDefault="00222B9D">
            <w:r>
              <w:t>Effects of teachers’ mathematical knowledge for teaching on student achievement</w:t>
            </w:r>
          </w:p>
          <w:p w:rsidR="00222B9D" w:rsidRDefault="00222B9D">
            <w:pPr>
              <w:rPr>
                <w:lang w:eastAsia="zh-CN"/>
              </w:rPr>
            </w:pPr>
            <w:r>
              <w:rPr>
                <w:lang w:eastAsia="zh-CN"/>
              </w:rPr>
              <w:t>(</w:t>
            </w:r>
            <w:r>
              <w:t>Hill et al., 2005</w:t>
            </w:r>
            <w:r>
              <w:rPr>
                <w:lang w:eastAsia="zh-CN"/>
              </w:rPr>
              <w:t>)</w:t>
            </w:r>
          </w:p>
        </w:tc>
        <w:tc>
          <w:tcPr>
            <w:tcW w:w="1980" w:type="dxa"/>
          </w:tcPr>
          <w:p w:rsidR="00222B9D" w:rsidRDefault="00222B9D">
            <w:r>
              <w:t>Content knowledge for teacher mathematics</w:t>
            </w:r>
          </w:p>
        </w:tc>
        <w:tc>
          <w:tcPr>
            <w:tcW w:w="1440" w:type="dxa"/>
          </w:tcPr>
          <w:p w:rsidR="00222B9D" w:rsidRDefault="00222B9D">
            <w:r>
              <w:t>Gain score</w:t>
            </w:r>
          </w:p>
        </w:tc>
        <w:tc>
          <w:tcPr>
            <w:tcW w:w="1800" w:type="dxa"/>
          </w:tcPr>
          <w:p w:rsidR="00222B9D" w:rsidRDefault="00222B9D">
            <w:r>
              <w:t>1773 third graders nested within 365 teachers</w:t>
            </w:r>
          </w:p>
        </w:tc>
        <w:tc>
          <w:tcPr>
            <w:tcW w:w="1260" w:type="dxa"/>
          </w:tcPr>
          <w:p w:rsidR="00222B9D" w:rsidRDefault="00222B9D">
            <w:r>
              <w:t>Terra Nova math scale score</w:t>
            </w:r>
          </w:p>
          <w:p w:rsidR="00222B9D" w:rsidRDefault="00222B9D"/>
        </w:tc>
        <w:tc>
          <w:tcPr>
            <w:tcW w:w="1980" w:type="dxa"/>
          </w:tcPr>
          <w:p w:rsidR="00222B9D" w:rsidRDefault="00222B9D">
            <w:r>
              <w:t>2.28</w:t>
            </w:r>
          </w:p>
          <w:p w:rsidR="00222B9D" w:rsidRDefault="00222B9D">
            <w:r>
              <w:t>(.75)</w:t>
            </w:r>
          </w:p>
          <w:p w:rsidR="00222B9D" w:rsidRDefault="00222B9D">
            <w:r>
              <w:t>Table 7, model 1, (third graders)</w:t>
            </w:r>
          </w:p>
        </w:tc>
        <w:tc>
          <w:tcPr>
            <w:tcW w:w="1440" w:type="dxa"/>
          </w:tcPr>
          <w:p w:rsidR="00222B9D" w:rsidRDefault="00222B9D">
            <w:r>
              <w:t>NA</w:t>
            </w:r>
          </w:p>
          <w:p w:rsidR="00222B9D" w:rsidRDefault="00222B9D">
            <w:r>
              <w:t>(.16)</w:t>
            </w:r>
          </w:p>
        </w:tc>
        <w:tc>
          <w:tcPr>
            <w:tcW w:w="1980" w:type="dxa"/>
          </w:tcPr>
          <w:p w:rsidR="00222B9D" w:rsidRDefault="00222B9D">
            <w:r>
              <w:t>36%</w:t>
            </w:r>
          </w:p>
          <w:p w:rsidR="00222B9D" w:rsidRDefault="00222B9D"/>
        </w:tc>
      </w:tr>
    </w:tbl>
    <w:p w:rsidR="00222B9D" w:rsidRDefault="00222B9D">
      <w:pPr>
        <w:sectPr w:rsidR="00222B9D" w:rsidSect="00F90262">
          <w:pgSz w:w="15840" w:h="12240" w:orient="landscape" w:code="1"/>
          <w:pgMar w:top="1440" w:right="1440" w:bottom="1440" w:left="1440" w:header="720" w:footer="720" w:gutter="0"/>
          <w:cols w:space="720"/>
          <w:docGrid w:linePitch="360"/>
        </w:sectPr>
      </w:pPr>
    </w:p>
    <w:bookmarkEnd w:id="5"/>
    <w:bookmarkEnd w:id="6"/>
    <w:p w:rsidR="0097022B" w:rsidRDefault="00792F6B" w:rsidP="0097022B">
      <w:pPr>
        <w:pStyle w:val="FootnoteText"/>
        <w:widowControl w:val="0"/>
        <w:ind w:hanging="547"/>
        <w:jc w:val="center"/>
        <w:rPr>
          <w:sz w:val="24"/>
        </w:rPr>
      </w:pPr>
      <w:r>
        <w:rPr>
          <w:sz w:val="24"/>
        </w:rPr>
        <w:lastRenderedPageBreak/>
        <w:t>Table B1</w:t>
      </w:r>
    </w:p>
    <w:p w:rsidR="0097022B" w:rsidRDefault="0097022B" w:rsidP="0097022B">
      <w:pPr>
        <w:pStyle w:val="FootnoteText"/>
        <w:widowControl w:val="0"/>
        <w:ind w:hanging="547"/>
        <w:rPr>
          <w:sz w:val="24"/>
        </w:rPr>
      </w:pPr>
      <w:r w:rsidRPr="006A7CDD">
        <w:rPr>
          <w:sz w:val="24"/>
          <w:szCs w:val="24"/>
          <w:lang w:eastAsia="zh-CN"/>
        </w:rPr>
        <w:t>Quantifying the Robustness of Inferences from</w:t>
      </w:r>
      <w:r w:rsidR="008A2C4E">
        <w:rPr>
          <w:sz w:val="24"/>
          <w:szCs w:val="24"/>
          <w:lang w:eastAsia="zh-CN"/>
        </w:rPr>
        <w:t xml:space="preserve"> R</w:t>
      </w:r>
      <w:r>
        <w:rPr>
          <w:sz w:val="24"/>
          <w:szCs w:val="24"/>
          <w:lang w:eastAsia="zh-CN"/>
        </w:rPr>
        <w:t xml:space="preserve">andomized Experiments in </w:t>
      </w:r>
      <w:r w:rsidRPr="00A511E9">
        <w:rPr>
          <w:sz w:val="24"/>
          <w:szCs w:val="24"/>
          <w:lang w:eastAsia="zh-CN"/>
        </w:rPr>
        <w:t>EEPA posted on-line July 24-Nov 15 2012</w:t>
      </w:r>
    </w:p>
    <w:tbl>
      <w:tblPr>
        <w:tblW w:w="1215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0"/>
        <w:gridCol w:w="1620"/>
        <w:gridCol w:w="1620"/>
        <w:gridCol w:w="1170"/>
        <w:gridCol w:w="1080"/>
        <w:gridCol w:w="720"/>
        <w:gridCol w:w="1170"/>
        <w:gridCol w:w="1350"/>
      </w:tblGrid>
      <w:tr w:rsidR="0097022B" w:rsidTr="00867430">
        <w:tc>
          <w:tcPr>
            <w:tcW w:w="3420" w:type="dxa"/>
          </w:tcPr>
          <w:p w:rsidR="0097022B" w:rsidRDefault="0097022B" w:rsidP="001310BA">
            <w:r>
              <w:t>Study</w:t>
            </w:r>
          </w:p>
          <w:p w:rsidR="0097022B" w:rsidRDefault="0097022B" w:rsidP="001310BA">
            <w:r>
              <w:t>(1</w:t>
            </w:r>
            <w:r w:rsidRPr="00A511E9">
              <w:rPr>
                <w:vertAlign w:val="superscript"/>
              </w:rPr>
              <w:t>st</w:t>
            </w:r>
            <w:r>
              <w:t xml:space="preserve"> author)</w:t>
            </w:r>
          </w:p>
          <w:p w:rsidR="0097022B" w:rsidRDefault="0097022B" w:rsidP="001310BA"/>
        </w:tc>
        <w:tc>
          <w:tcPr>
            <w:tcW w:w="1620" w:type="dxa"/>
          </w:tcPr>
          <w:p w:rsidR="0097022B" w:rsidRDefault="0097022B" w:rsidP="001310BA">
            <w:r>
              <w:t>Predictor of interest</w:t>
            </w:r>
          </w:p>
        </w:tc>
        <w:tc>
          <w:tcPr>
            <w:tcW w:w="1620" w:type="dxa"/>
          </w:tcPr>
          <w:p w:rsidR="0097022B" w:rsidRDefault="0097022B" w:rsidP="001310BA">
            <w:r>
              <w:t>Population</w:t>
            </w:r>
          </w:p>
          <w:p w:rsidR="0097022B" w:rsidRDefault="0097022B" w:rsidP="001310BA">
            <w:r>
              <w:t>(</w:t>
            </w:r>
            <w:proofErr w:type="spellStart"/>
            <w:r>
              <w:t>df</w:t>
            </w:r>
            <w:proofErr w:type="spellEnd"/>
            <w:r>
              <w:t>)</w:t>
            </w:r>
          </w:p>
        </w:tc>
        <w:tc>
          <w:tcPr>
            <w:tcW w:w="1170" w:type="dxa"/>
          </w:tcPr>
          <w:p w:rsidR="0097022B" w:rsidRDefault="0097022B" w:rsidP="001310BA">
            <w:r>
              <w:t xml:space="preserve">Outcome </w:t>
            </w:r>
          </w:p>
        </w:tc>
        <w:tc>
          <w:tcPr>
            <w:tcW w:w="1080" w:type="dxa"/>
          </w:tcPr>
          <w:p w:rsidR="0097022B" w:rsidRDefault="0097022B" w:rsidP="001310BA">
            <w:r>
              <w:t>source</w:t>
            </w:r>
          </w:p>
        </w:tc>
        <w:tc>
          <w:tcPr>
            <w:tcW w:w="720" w:type="dxa"/>
          </w:tcPr>
          <w:p w:rsidR="0097022B" w:rsidRDefault="0097022B" w:rsidP="001310BA">
            <w:r>
              <w:t xml:space="preserve">r </w:t>
            </w:r>
          </w:p>
        </w:tc>
        <w:tc>
          <w:tcPr>
            <w:tcW w:w="1170" w:type="dxa"/>
          </w:tcPr>
          <w:p w:rsidR="0097022B" w:rsidRDefault="0097022B" w:rsidP="001310BA">
            <w:r>
              <w:t>% bias to make inference invalid</w:t>
            </w:r>
          </w:p>
        </w:tc>
        <w:tc>
          <w:tcPr>
            <w:tcW w:w="1350" w:type="dxa"/>
          </w:tcPr>
          <w:p w:rsidR="0097022B" w:rsidRDefault="0097022B" w:rsidP="001310BA">
            <w:r>
              <w:t>Multiplier to make estimate significant</w:t>
            </w:r>
          </w:p>
        </w:tc>
      </w:tr>
      <w:tr w:rsidR="0097022B" w:rsidTr="00867430">
        <w:tc>
          <w:tcPr>
            <w:tcW w:w="3420" w:type="dxa"/>
          </w:tcPr>
          <w:p w:rsidR="0097022B" w:rsidRDefault="0097022B" w:rsidP="001310BA">
            <w:pPr>
              <w:rPr>
                <w:rStyle w:val="cit-title"/>
              </w:rPr>
            </w:pPr>
            <w:r>
              <w:rPr>
                <w:rStyle w:val="cit-title"/>
              </w:rPr>
              <w:t>Incentive Pay Programs Do Not Affect Teacher Motivation or Reported Practices</w:t>
            </w:r>
          </w:p>
          <w:p w:rsidR="0097022B" w:rsidRDefault="0097022B" w:rsidP="001310BA">
            <w:pPr>
              <w:rPr>
                <w:lang w:eastAsia="zh-CN"/>
              </w:rPr>
            </w:pPr>
            <w:r>
              <w:rPr>
                <w:rStyle w:val="cit-title"/>
              </w:rPr>
              <w:t>(Yuan)</w:t>
            </w:r>
          </w:p>
        </w:tc>
        <w:tc>
          <w:tcPr>
            <w:tcW w:w="1620" w:type="dxa"/>
          </w:tcPr>
          <w:p w:rsidR="0097022B" w:rsidRDefault="0097022B" w:rsidP="001310BA">
            <w:r>
              <w:t>Pay-for performance</w:t>
            </w:r>
          </w:p>
        </w:tc>
        <w:tc>
          <w:tcPr>
            <w:tcW w:w="1620" w:type="dxa"/>
          </w:tcPr>
          <w:p w:rsidR="0097022B" w:rsidRDefault="0097022B" w:rsidP="001310BA">
            <w:r>
              <w:t>5</w:t>
            </w:r>
            <w:r w:rsidRPr="007F309D">
              <w:rPr>
                <w:vertAlign w:val="superscript"/>
              </w:rPr>
              <w:t>th</w:t>
            </w:r>
            <w:r>
              <w:t>-8</w:t>
            </w:r>
            <w:r w:rsidRPr="007F309D">
              <w:rPr>
                <w:vertAlign w:val="superscript"/>
              </w:rPr>
              <w:t>th</w:t>
            </w:r>
            <w:r>
              <w:t xml:space="preserve"> grade teachers in Nashville</w:t>
            </w:r>
          </w:p>
          <w:p w:rsidR="0097022B" w:rsidRDefault="0097022B" w:rsidP="001310BA">
            <w:r>
              <w:t>(143)</w:t>
            </w:r>
          </w:p>
        </w:tc>
        <w:tc>
          <w:tcPr>
            <w:tcW w:w="1170" w:type="dxa"/>
          </w:tcPr>
          <w:p w:rsidR="0097022B" w:rsidRDefault="0097022B" w:rsidP="001310BA">
            <w:r>
              <w:t>Test Preparation</w:t>
            </w:r>
          </w:p>
        </w:tc>
        <w:tc>
          <w:tcPr>
            <w:tcW w:w="1080" w:type="dxa"/>
          </w:tcPr>
          <w:p w:rsidR="0097022B" w:rsidRDefault="0097022B" w:rsidP="001310BA">
            <w:r>
              <w:t>Table 3, POINT program</w:t>
            </w:r>
          </w:p>
        </w:tc>
        <w:tc>
          <w:tcPr>
            <w:tcW w:w="720" w:type="dxa"/>
          </w:tcPr>
          <w:p w:rsidR="0097022B" w:rsidRDefault="0097022B" w:rsidP="001310BA">
            <w:r>
              <w:t>.250</w:t>
            </w:r>
          </w:p>
        </w:tc>
        <w:tc>
          <w:tcPr>
            <w:tcW w:w="1170" w:type="dxa"/>
          </w:tcPr>
          <w:p w:rsidR="0097022B" w:rsidRDefault="0097022B" w:rsidP="001310BA">
            <w:r>
              <w:t>33%</w:t>
            </w:r>
          </w:p>
        </w:tc>
        <w:tc>
          <w:tcPr>
            <w:tcW w:w="1350" w:type="dxa"/>
          </w:tcPr>
          <w:p w:rsidR="0097022B" w:rsidRDefault="0097022B" w:rsidP="001310BA"/>
        </w:tc>
      </w:tr>
      <w:tr w:rsidR="0097022B" w:rsidTr="00867430">
        <w:tc>
          <w:tcPr>
            <w:tcW w:w="3420" w:type="dxa"/>
          </w:tcPr>
          <w:p w:rsidR="0097022B" w:rsidRDefault="0097022B" w:rsidP="001310BA">
            <w:pPr>
              <w:rPr>
                <w:rStyle w:val="cit-title"/>
              </w:rPr>
            </w:pPr>
            <w:r>
              <w:rPr>
                <w:rStyle w:val="cit-title"/>
              </w:rPr>
              <w:t>Effects of Two Scientific Inquiry Professional Development Interventions on Teaching Practice</w:t>
            </w:r>
          </w:p>
          <w:p w:rsidR="0097022B" w:rsidRDefault="0097022B" w:rsidP="001310BA">
            <w:pPr>
              <w:rPr>
                <w:lang w:eastAsia="zh-CN"/>
              </w:rPr>
            </w:pPr>
            <w:r>
              <w:rPr>
                <w:rStyle w:val="cit-title"/>
              </w:rPr>
              <w:t>(</w:t>
            </w:r>
            <w:proofErr w:type="spellStart"/>
            <w:r>
              <w:rPr>
                <w:rStyle w:val="cit-title"/>
              </w:rPr>
              <w:t>Grigg</w:t>
            </w:r>
            <w:proofErr w:type="spellEnd"/>
            <w:r>
              <w:rPr>
                <w:rStyle w:val="cit-title"/>
              </w:rPr>
              <w:t>)</w:t>
            </w:r>
          </w:p>
        </w:tc>
        <w:tc>
          <w:tcPr>
            <w:tcW w:w="1620" w:type="dxa"/>
          </w:tcPr>
          <w:p w:rsidR="0097022B" w:rsidRDefault="0097022B" w:rsidP="001310BA">
            <w:r>
              <w:t>Professional development for inquiry in science</w:t>
            </w:r>
          </w:p>
        </w:tc>
        <w:tc>
          <w:tcPr>
            <w:tcW w:w="1620" w:type="dxa"/>
          </w:tcPr>
          <w:p w:rsidR="0097022B" w:rsidRDefault="0097022B" w:rsidP="001310BA">
            <w:r>
              <w:t>4</w:t>
            </w:r>
            <w:r w:rsidRPr="007F309D">
              <w:rPr>
                <w:vertAlign w:val="superscript"/>
              </w:rPr>
              <w:t>th</w:t>
            </w:r>
            <w:r>
              <w:t>-5</w:t>
            </w:r>
            <w:r w:rsidRPr="007F309D">
              <w:rPr>
                <w:vertAlign w:val="superscript"/>
              </w:rPr>
              <w:t>th</w:t>
            </w:r>
            <w:r>
              <w:t xml:space="preserve"> grade  </w:t>
            </w:r>
          </w:p>
          <w:p w:rsidR="0097022B" w:rsidRDefault="0097022B" w:rsidP="001310BA">
            <w:r>
              <w:t>Classrooms in Los Angeles</w:t>
            </w:r>
          </w:p>
          <w:p w:rsidR="0097022B" w:rsidRDefault="0097022B" w:rsidP="001310BA">
            <w:r>
              <w:t>(70 schools)</w:t>
            </w:r>
          </w:p>
        </w:tc>
        <w:tc>
          <w:tcPr>
            <w:tcW w:w="1170" w:type="dxa"/>
          </w:tcPr>
          <w:p w:rsidR="0097022B" w:rsidRDefault="0097022B" w:rsidP="001310BA">
            <w:r>
              <w:t>Inquiry used</w:t>
            </w:r>
          </w:p>
        </w:tc>
        <w:tc>
          <w:tcPr>
            <w:tcW w:w="1080" w:type="dxa"/>
          </w:tcPr>
          <w:p w:rsidR="0097022B" w:rsidRDefault="0097022B" w:rsidP="001310BA">
            <w:r>
              <w:t>Table 5 Model 1</w:t>
            </w:r>
          </w:p>
        </w:tc>
        <w:tc>
          <w:tcPr>
            <w:tcW w:w="720" w:type="dxa"/>
          </w:tcPr>
          <w:p w:rsidR="0097022B" w:rsidRDefault="0097022B" w:rsidP="001310BA">
            <w:r>
              <w:t>.277</w:t>
            </w:r>
          </w:p>
        </w:tc>
        <w:tc>
          <w:tcPr>
            <w:tcW w:w="1170" w:type="dxa"/>
          </w:tcPr>
          <w:p w:rsidR="0097022B" w:rsidRDefault="0097022B" w:rsidP="001310BA">
            <w:r>
              <w:t>15%</w:t>
            </w:r>
          </w:p>
        </w:tc>
        <w:tc>
          <w:tcPr>
            <w:tcW w:w="1350" w:type="dxa"/>
          </w:tcPr>
          <w:p w:rsidR="0097022B" w:rsidRDefault="0097022B" w:rsidP="001310BA"/>
        </w:tc>
      </w:tr>
      <w:tr w:rsidR="0097022B" w:rsidTr="00867430">
        <w:tc>
          <w:tcPr>
            <w:tcW w:w="3420" w:type="dxa"/>
          </w:tcPr>
          <w:p w:rsidR="0097022B" w:rsidRDefault="0097022B" w:rsidP="001310BA">
            <w:pPr>
              <w:rPr>
                <w:rStyle w:val="cit-title"/>
              </w:rPr>
            </w:pPr>
            <w:r>
              <w:rPr>
                <w:rStyle w:val="cit-title"/>
              </w:rPr>
              <w:t xml:space="preserve">A Randomized Controlled Trial Evaluation of </w:t>
            </w:r>
            <w:r>
              <w:rPr>
                <w:rStyle w:val="Emphasis"/>
              </w:rPr>
              <w:t>Time to Read</w:t>
            </w:r>
            <w:r>
              <w:rPr>
                <w:rStyle w:val="cit-title"/>
              </w:rPr>
              <w:t>, a Volunteer Tutoring Program for 8- to 9-Year-Olds</w:t>
            </w:r>
          </w:p>
          <w:p w:rsidR="0097022B" w:rsidRDefault="0097022B" w:rsidP="001310BA">
            <w:pPr>
              <w:rPr>
                <w:lang w:eastAsia="zh-CN"/>
              </w:rPr>
            </w:pPr>
            <w:r>
              <w:rPr>
                <w:rStyle w:val="cit-title"/>
              </w:rPr>
              <w:t>(Miller)</w:t>
            </w:r>
          </w:p>
        </w:tc>
        <w:tc>
          <w:tcPr>
            <w:tcW w:w="1620" w:type="dxa"/>
          </w:tcPr>
          <w:p w:rsidR="0097022B" w:rsidRDefault="0097022B" w:rsidP="001310BA">
            <w:r>
              <w:t>Time to Read (tutoring)</w:t>
            </w:r>
          </w:p>
        </w:tc>
        <w:tc>
          <w:tcPr>
            <w:tcW w:w="1620" w:type="dxa"/>
          </w:tcPr>
          <w:p w:rsidR="0097022B" w:rsidRDefault="0097022B" w:rsidP="001310BA">
            <w:r>
              <w:t>8-9 year old children in Northern Ireland</w:t>
            </w:r>
          </w:p>
          <w:p w:rsidR="0097022B" w:rsidRDefault="0097022B" w:rsidP="001310BA">
            <w:r>
              <w:t>(734)</w:t>
            </w:r>
          </w:p>
        </w:tc>
        <w:tc>
          <w:tcPr>
            <w:tcW w:w="1170" w:type="dxa"/>
          </w:tcPr>
          <w:p w:rsidR="0097022B" w:rsidRDefault="0097022B" w:rsidP="001310BA">
            <w:r>
              <w:t xml:space="preserve">Future </w:t>
            </w:r>
            <w:r w:rsidR="00792F6B">
              <w:t>aspiration</w:t>
            </w:r>
          </w:p>
        </w:tc>
        <w:tc>
          <w:tcPr>
            <w:tcW w:w="1080" w:type="dxa"/>
          </w:tcPr>
          <w:p w:rsidR="0097022B" w:rsidRDefault="0097022B" w:rsidP="001310BA">
            <w:r>
              <w:t>Table 5, column 1</w:t>
            </w:r>
          </w:p>
        </w:tc>
        <w:tc>
          <w:tcPr>
            <w:tcW w:w="720" w:type="dxa"/>
          </w:tcPr>
          <w:p w:rsidR="0097022B" w:rsidRDefault="0097022B" w:rsidP="001310BA">
            <w:r>
              <w:t>.078</w:t>
            </w:r>
          </w:p>
        </w:tc>
        <w:tc>
          <w:tcPr>
            <w:tcW w:w="1170" w:type="dxa"/>
          </w:tcPr>
          <w:p w:rsidR="0097022B" w:rsidRDefault="0097022B" w:rsidP="001310BA">
            <w:r>
              <w:t>7%</w:t>
            </w:r>
          </w:p>
        </w:tc>
        <w:tc>
          <w:tcPr>
            <w:tcW w:w="1350" w:type="dxa"/>
          </w:tcPr>
          <w:p w:rsidR="0097022B" w:rsidRDefault="0097022B" w:rsidP="001310BA"/>
        </w:tc>
      </w:tr>
      <w:tr w:rsidR="00E82998" w:rsidTr="00867430">
        <w:tc>
          <w:tcPr>
            <w:tcW w:w="3420" w:type="dxa"/>
          </w:tcPr>
          <w:p w:rsidR="00E82998" w:rsidRDefault="00E82998" w:rsidP="00E35419">
            <w:pPr>
              <w:rPr>
                <w:rStyle w:val="cit-title"/>
              </w:rPr>
            </w:pPr>
            <w:r>
              <w:rPr>
                <w:rStyle w:val="cit-title"/>
              </w:rPr>
              <w:t>Incentive Pay Programs Do Not Affect Teacher Motivation or Reported Practices</w:t>
            </w:r>
          </w:p>
          <w:p w:rsidR="00E82998" w:rsidRDefault="00E82998" w:rsidP="00E35419">
            <w:pPr>
              <w:rPr>
                <w:lang w:eastAsia="zh-CN"/>
              </w:rPr>
            </w:pPr>
            <w:r>
              <w:rPr>
                <w:rStyle w:val="cit-title"/>
              </w:rPr>
              <w:t>(Yuan)</w:t>
            </w:r>
          </w:p>
        </w:tc>
        <w:tc>
          <w:tcPr>
            <w:tcW w:w="1620" w:type="dxa"/>
          </w:tcPr>
          <w:p w:rsidR="00E82998" w:rsidRDefault="00E82998" w:rsidP="00E35419">
            <w:r>
              <w:t>Pay-for performance</w:t>
            </w:r>
          </w:p>
        </w:tc>
        <w:tc>
          <w:tcPr>
            <w:tcW w:w="1620" w:type="dxa"/>
          </w:tcPr>
          <w:p w:rsidR="00E82998" w:rsidRDefault="00E82998" w:rsidP="00E35419">
            <w:r>
              <w:t>5</w:t>
            </w:r>
            <w:r w:rsidRPr="007F309D">
              <w:rPr>
                <w:vertAlign w:val="superscript"/>
              </w:rPr>
              <w:t>th</w:t>
            </w:r>
            <w:r>
              <w:t>-8</w:t>
            </w:r>
            <w:r w:rsidRPr="007F309D">
              <w:rPr>
                <w:vertAlign w:val="superscript"/>
              </w:rPr>
              <w:t>th</w:t>
            </w:r>
            <w:r>
              <w:t xml:space="preserve"> grade teachers in Nashville</w:t>
            </w:r>
          </w:p>
          <w:p w:rsidR="00E82998" w:rsidRDefault="00E82998" w:rsidP="00E35419">
            <w:r>
              <w:t>(143)</w:t>
            </w:r>
          </w:p>
        </w:tc>
        <w:tc>
          <w:tcPr>
            <w:tcW w:w="1170" w:type="dxa"/>
          </w:tcPr>
          <w:p w:rsidR="00E82998" w:rsidRDefault="00E82998" w:rsidP="00E35419">
            <w:r>
              <w:t xml:space="preserve">Extra hours worked/ week  </w:t>
            </w:r>
          </w:p>
        </w:tc>
        <w:tc>
          <w:tcPr>
            <w:tcW w:w="1080" w:type="dxa"/>
          </w:tcPr>
          <w:p w:rsidR="00E82998" w:rsidRDefault="00E82998" w:rsidP="00E35419">
            <w:r>
              <w:t>Table 3, POINT program</w:t>
            </w:r>
          </w:p>
        </w:tc>
        <w:tc>
          <w:tcPr>
            <w:tcW w:w="720" w:type="dxa"/>
          </w:tcPr>
          <w:p w:rsidR="00E82998" w:rsidRDefault="00E82998" w:rsidP="00E35419">
            <w:r>
              <w:t>.077</w:t>
            </w:r>
          </w:p>
        </w:tc>
        <w:tc>
          <w:tcPr>
            <w:tcW w:w="1170" w:type="dxa"/>
          </w:tcPr>
          <w:p w:rsidR="00E82998" w:rsidRDefault="00E82998" w:rsidP="00E35419">
            <w:r>
              <w:t>-154%</w:t>
            </w:r>
          </w:p>
        </w:tc>
        <w:tc>
          <w:tcPr>
            <w:tcW w:w="1350" w:type="dxa"/>
          </w:tcPr>
          <w:p w:rsidR="00E82998" w:rsidRDefault="00E82998" w:rsidP="00E35419">
            <w:r>
              <w:t>2.53</w:t>
            </w:r>
          </w:p>
        </w:tc>
      </w:tr>
    </w:tbl>
    <w:p w:rsidR="0097022B" w:rsidRDefault="0097022B" w:rsidP="0097022B"/>
    <w:p w:rsidR="00D831EA" w:rsidRDefault="0097022B" w:rsidP="0097022B">
      <w:pPr>
        <w:rPr>
          <w:rStyle w:val="cit-auth"/>
        </w:rPr>
      </w:pPr>
      <w:proofErr w:type="gramStart"/>
      <w:r w:rsidRPr="00A35A23">
        <w:rPr>
          <w:vertAlign w:val="superscript"/>
        </w:rPr>
        <w:t>a</w:t>
      </w:r>
      <w:proofErr w:type="gramEnd"/>
      <w:r>
        <w:rPr>
          <w:rStyle w:val="cit-auth"/>
        </w:rPr>
        <w:t xml:space="preserve"> Degrees of freedom for calculating threshold value of r are defined at the level of the predictor of interest, subtracting the number of parameters estimated at that level.</w:t>
      </w:r>
      <w:r w:rsidR="00867430">
        <w:rPr>
          <w:rStyle w:val="cit-auth"/>
        </w:rPr>
        <w:t xml:space="preserve">  Calculations can be conducted from spreadsheet at </w:t>
      </w:r>
      <w:hyperlink r:id="rId151" w:anchor="causal" w:history="1">
        <w:r w:rsidR="009E6812" w:rsidRPr="00555510">
          <w:rPr>
            <w:rStyle w:val="Hyperlink"/>
          </w:rPr>
          <w:t>https://www.msu.edu/~kenfrank/research.htm#causal</w:t>
        </w:r>
      </w:hyperlink>
      <w:r w:rsidR="00216828">
        <w:rPr>
          <w:rStyle w:val="cit-auth"/>
        </w:rPr>
        <w:t>.</w:t>
      </w:r>
      <w:r w:rsidR="00216828">
        <w:t xml:space="preserve"> </w:t>
      </w:r>
      <w:r w:rsidR="00D831EA">
        <w:t>Studies listed in order of % robustness.</w:t>
      </w:r>
    </w:p>
    <w:p w:rsidR="00867430" w:rsidRDefault="00867430" w:rsidP="0097022B">
      <w:pPr>
        <w:rPr>
          <w:rStyle w:val="cit-auth"/>
        </w:rPr>
      </w:pPr>
    </w:p>
    <w:p w:rsidR="00867430" w:rsidRDefault="00867430" w:rsidP="0097022B">
      <w:pPr>
        <w:rPr>
          <w:rStyle w:val="cit-auth"/>
        </w:rPr>
      </w:pPr>
    </w:p>
    <w:p w:rsidR="00867430" w:rsidRDefault="00867430" w:rsidP="0097022B">
      <w:pPr>
        <w:rPr>
          <w:rStyle w:val="cit-auth"/>
        </w:rPr>
      </w:pPr>
    </w:p>
    <w:p w:rsidR="00A511E9" w:rsidRDefault="00792F6B" w:rsidP="00A511E9">
      <w:pPr>
        <w:pStyle w:val="FootnoteText"/>
        <w:widowControl w:val="0"/>
        <w:spacing w:line="480" w:lineRule="auto"/>
        <w:ind w:hanging="540"/>
        <w:jc w:val="center"/>
        <w:rPr>
          <w:sz w:val="24"/>
        </w:rPr>
      </w:pPr>
      <w:r>
        <w:rPr>
          <w:sz w:val="24"/>
        </w:rPr>
        <w:t>Table B2</w:t>
      </w:r>
    </w:p>
    <w:p w:rsidR="00A511E9" w:rsidRDefault="00A511E9" w:rsidP="00A511E9">
      <w:pPr>
        <w:pStyle w:val="FootnoteText"/>
        <w:widowControl w:val="0"/>
        <w:spacing w:line="480" w:lineRule="auto"/>
        <w:ind w:hanging="540"/>
        <w:rPr>
          <w:sz w:val="24"/>
        </w:rPr>
      </w:pPr>
      <w:r w:rsidRPr="006A7CDD">
        <w:rPr>
          <w:sz w:val="24"/>
          <w:szCs w:val="24"/>
          <w:lang w:eastAsia="zh-CN"/>
        </w:rPr>
        <w:t>Quantifying the Robustness of Inferences from</w:t>
      </w:r>
      <w:r>
        <w:rPr>
          <w:sz w:val="24"/>
          <w:szCs w:val="24"/>
          <w:lang w:eastAsia="zh-CN"/>
        </w:rPr>
        <w:t xml:space="preserve"> </w:t>
      </w:r>
      <w:r w:rsidR="007A2AFA">
        <w:rPr>
          <w:sz w:val="24"/>
          <w:szCs w:val="24"/>
          <w:lang w:eastAsia="zh-CN"/>
        </w:rPr>
        <w:t xml:space="preserve">Observational </w:t>
      </w:r>
      <w:r>
        <w:rPr>
          <w:sz w:val="24"/>
          <w:szCs w:val="24"/>
          <w:lang w:eastAsia="zh-CN"/>
        </w:rPr>
        <w:t xml:space="preserve">Studies in </w:t>
      </w:r>
      <w:r w:rsidRPr="00A511E9">
        <w:rPr>
          <w:sz w:val="24"/>
          <w:szCs w:val="24"/>
          <w:lang w:eastAsia="zh-CN"/>
        </w:rPr>
        <w:t>EEPA posted on-line July 24-Nov 15 2012</w:t>
      </w:r>
    </w:p>
    <w:tbl>
      <w:tblPr>
        <w:tblW w:w="1413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1080"/>
        <w:gridCol w:w="1800"/>
        <w:gridCol w:w="1260"/>
        <w:gridCol w:w="1170"/>
        <w:gridCol w:w="1620"/>
        <w:gridCol w:w="1080"/>
        <w:gridCol w:w="720"/>
        <w:gridCol w:w="1170"/>
        <w:gridCol w:w="1350"/>
      </w:tblGrid>
      <w:tr w:rsidR="00A015DF" w:rsidTr="008A2C4E">
        <w:tc>
          <w:tcPr>
            <w:tcW w:w="2880" w:type="dxa"/>
          </w:tcPr>
          <w:p w:rsidR="00A015DF" w:rsidRDefault="00A015DF" w:rsidP="006B2E60">
            <w:r>
              <w:t>Study</w:t>
            </w:r>
          </w:p>
          <w:p w:rsidR="00A015DF" w:rsidRDefault="00A015DF" w:rsidP="006B2E60">
            <w:r>
              <w:t>(1</w:t>
            </w:r>
            <w:r w:rsidRPr="00A511E9">
              <w:rPr>
                <w:vertAlign w:val="superscript"/>
              </w:rPr>
              <w:t>st</w:t>
            </w:r>
            <w:r>
              <w:t xml:space="preserve"> author)</w:t>
            </w:r>
          </w:p>
          <w:p w:rsidR="00A015DF" w:rsidRDefault="00A015DF" w:rsidP="006B2E60"/>
        </w:tc>
        <w:tc>
          <w:tcPr>
            <w:tcW w:w="1080" w:type="dxa"/>
          </w:tcPr>
          <w:p w:rsidR="00A015DF" w:rsidRDefault="00A015DF" w:rsidP="00EF4DC5">
            <w:r>
              <w:t>Random</w:t>
            </w:r>
          </w:p>
          <w:p w:rsidR="007A2AFA" w:rsidRDefault="007A2AFA" w:rsidP="00EF4DC5">
            <w:r>
              <w:t>sample</w:t>
            </w:r>
          </w:p>
        </w:tc>
        <w:tc>
          <w:tcPr>
            <w:tcW w:w="1800" w:type="dxa"/>
          </w:tcPr>
          <w:p w:rsidR="00A015DF" w:rsidRDefault="00A015DF" w:rsidP="006B2E60">
            <w:r>
              <w:t>Predictor of interest</w:t>
            </w:r>
          </w:p>
        </w:tc>
        <w:tc>
          <w:tcPr>
            <w:tcW w:w="1260" w:type="dxa"/>
          </w:tcPr>
          <w:p w:rsidR="00A015DF" w:rsidRDefault="00A015DF" w:rsidP="006B2E60">
            <w:r>
              <w:t>Condition on pretest</w:t>
            </w:r>
          </w:p>
        </w:tc>
        <w:tc>
          <w:tcPr>
            <w:tcW w:w="1170" w:type="dxa"/>
          </w:tcPr>
          <w:p w:rsidR="00A015DF" w:rsidRDefault="00A015DF" w:rsidP="006B2E60">
            <w:r>
              <w:t>Population</w:t>
            </w:r>
          </w:p>
          <w:p w:rsidR="00FD4AEA" w:rsidRDefault="00FD4AEA" w:rsidP="006B2E60">
            <w:r>
              <w:t>(</w:t>
            </w:r>
            <w:proofErr w:type="spellStart"/>
            <w:r>
              <w:t>df</w:t>
            </w:r>
            <w:proofErr w:type="spellEnd"/>
            <w:r>
              <w:t>)</w:t>
            </w:r>
            <w:r w:rsidR="00A35A23" w:rsidRPr="00A35A23">
              <w:rPr>
                <w:vertAlign w:val="superscript"/>
              </w:rPr>
              <w:t>a</w:t>
            </w:r>
          </w:p>
        </w:tc>
        <w:tc>
          <w:tcPr>
            <w:tcW w:w="1620" w:type="dxa"/>
          </w:tcPr>
          <w:p w:rsidR="00A015DF" w:rsidRDefault="00A015DF" w:rsidP="006B2E60">
            <w:r>
              <w:t xml:space="preserve">Outcome </w:t>
            </w:r>
          </w:p>
        </w:tc>
        <w:tc>
          <w:tcPr>
            <w:tcW w:w="1080" w:type="dxa"/>
          </w:tcPr>
          <w:p w:rsidR="00A015DF" w:rsidRDefault="00A015DF" w:rsidP="006B2E60">
            <w:r>
              <w:t>source</w:t>
            </w:r>
          </w:p>
        </w:tc>
        <w:tc>
          <w:tcPr>
            <w:tcW w:w="720" w:type="dxa"/>
          </w:tcPr>
          <w:p w:rsidR="00A015DF" w:rsidRDefault="00EF4DC5" w:rsidP="00EF4DC5">
            <w:r>
              <w:t>r</w:t>
            </w:r>
            <w:r w:rsidR="00A015DF">
              <w:t xml:space="preserve"> </w:t>
            </w:r>
          </w:p>
        </w:tc>
        <w:tc>
          <w:tcPr>
            <w:tcW w:w="1170" w:type="dxa"/>
          </w:tcPr>
          <w:p w:rsidR="00A015DF" w:rsidRDefault="00A015DF" w:rsidP="006B2E60">
            <w:r>
              <w:t>% bias to make inference invalid</w:t>
            </w:r>
          </w:p>
        </w:tc>
        <w:tc>
          <w:tcPr>
            <w:tcW w:w="1350" w:type="dxa"/>
          </w:tcPr>
          <w:p w:rsidR="00A015DF" w:rsidRDefault="00A015DF" w:rsidP="00A015DF">
            <w:r>
              <w:t>Multiplier to make estimate significant</w:t>
            </w:r>
          </w:p>
        </w:tc>
      </w:tr>
      <w:tr w:rsidR="00E82998" w:rsidTr="008A2C4E">
        <w:tc>
          <w:tcPr>
            <w:tcW w:w="2880" w:type="dxa"/>
          </w:tcPr>
          <w:p w:rsidR="00E82998" w:rsidRDefault="00E82998" w:rsidP="00E35419">
            <w:pPr>
              <w:rPr>
                <w:rStyle w:val="cit-title"/>
              </w:rPr>
            </w:pPr>
            <w:r>
              <w:rPr>
                <w:rStyle w:val="cit-title"/>
              </w:rPr>
              <w:t>Academic Effects of Summer Instruction and Retention in New York City</w:t>
            </w:r>
          </w:p>
          <w:p w:rsidR="00E82998" w:rsidRDefault="00E82998" w:rsidP="00E35419">
            <w:pPr>
              <w:rPr>
                <w:lang w:eastAsia="zh-CN"/>
              </w:rPr>
            </w:pPr>
            <w:r>
              <w:rPr>
                <w:rStyle w:val="cit-title"/>
              </w:rPr>
              <w:t>(Mariano)</w:t>
            </w:r>
          </w:p>
        </w:tc>
        <w:tc>
          <w:tcPr>
            <w:tcW w:w="1080" w:type="dxa"/>
          </w:tcPr>
          <w:p w:rsidR="00E82998" w:rsidRDefault="00E82998" w:rsidP="00E35419"/>
        </w:tc>
        <w:tc>
          <w:tcPr>
            <w:tcW w:w="1800" w:type="dxa"/>
          </w:tcPr>
          <w:p w:rsidR="00E82998" w:rsidRDefault="00E82998" w:rsidP="00E35419">
            <w:r>
              <w:t>Summer instruction and retention</w:t>
            </w:r>
          </w:p>
        </w:tc>
        <w:tc>
          <w:tcPr>
            <w:tcW w:w="1260" w:type="dxa"/>
          </w:tcPr>
          <w:p w:rsidR="00E82998" w:rsidRDefault="00E82998" w:rsidP="00E35419">
            <w:r>
              <w:t>RD</w:t>
            </w:r>
          </w:p>
        </w:tc>
        <w:tc>
          <w:tcPr>
            <w:tcW w:w="1170" w:type="dxa"/>
          </w:tcPr>
          <w:p w:rsidR="00E82998" w:rsidRDefault="00E82998" w:rsidP="00E35419">
            <w:r>
              <w:t>5</w:t>
            </w:r>
            <w:r w:rsidRPr="007F309D">
              <w:rPr>
                <w:vertAlign w:val="superscript"/>
              </w:rPr>
              <w:t>th</w:t>
            </w:r>
            <w:r>
              <w:t xml:space="preserve"> graders in New York</w:t>
            </w:r>
          </w:p>
          <w:p w:rsidR="00E82998" w:rsidRDefault="00E82998" w:rsidP="00E35419">
            <w:r>
              <w:t>(29,987)</w:t>
            </w:r>
          </w:p>
        </w:tc>
        <w:tc>
          <w:tcPr>
            <w:tcW w:w="1620" w:type="dxa"/>
          </w:tcPr>
          <w:p w:rsidR="00E82998" w:rsidRDefault="00E82998" w:rsidP="00E35419">
            <w:r>
              <w:t>English &amp; Language Arts achievement 6</w:t>
            </w:r>
            <w:r w:rsidRPr="0012260E">
              <w:rPr>
                <w:vertAlign w:val="superscript"/>
              </w:rPr>
              <w:t>th</w:t>
            </w:r>
            <w:r>
              <w:t xml:space="preserve"> grade</w:t>
            </w:r>
          </w:p>
        </w:tc>
        <w:tc>
          <w:tcPr>
            <w:tcW w:w="1080" w:type="dxa"/>
          </w:tcPr>
          <w:p w:rsidR="00E82998" w:rsidRDefault="00E82998" w:rsidP="00E35419">
            <w:r>
              <w:t>Table 2, Panel 1, column 1</w:t>
            </w:r>
          </w:p>
        </w:tc>
        <w:tc>
          <w:tcPr>
            <w:tcW w:w="720" w:type="dxa"/>
          </w:tcPr>
          <w:p w:rsidR="00E82998" w:rsidRDefault="00E82998" w:rsidP="00E35419">
            <w:r>
              <w:t>.029</w:t>
            </w:r>
          </w:p>
        </w:tc>
        <w:tc>
          <w:tcPr>
            <w:tcW w:w="1170" w:type="dxa"/>
          </w:tcPr>
          <w:p w:rsidR="00E82998" w:rsidRDefault="00E82998" w:rsidP="00E35419">
            <w:r>
              <w:t>60%</w:t>
            </w:r>
          </w:p>
        </w:tc>
        <w:tc>
          <w:tcPr>
            <w:tcW w:w="1350" w:type="dxa"/>
          </w:tcPr>
          <w:p w:rsidR="00E82998" w:rsidRDefault="00E82998" w:rsidP="00E35419"/>
        </w:tc>
      </w:tr>
      <w:tr w:rsidR="00E82998" w:rsidTr="008A2C4E">
        <w:tc>
          <w:tcPr>
            <w:tcW w:w="2880" w:type="dxa"/>
          </w:tcPr>
          <w:p w:rsidR="00E82998" w:rsidRDefault="00E82998" w:rsidP="00E35419">
            <w:pPr>
              <w:rPr>
                <w:rStyle w:val="cit-title"/>
              </w:rPr>
            </w:pPr>
            <w:r>
              <w:rPr>
                <w:rStyle w:val="cit-title"/>
              </w:rPr>
              <w:t>Unintended Consequences of an Algebra-for-All Policy on High-Skill Students</w:t>
            </w:r>
          </w:p>
          <w:p w:rsidR="00E82998" w:rsidRDefault="00E82998" w:rsidP="00E35419">
            <w:pPr>
              <w:rPr>
                <w:lang w:eastAsia="zh-CN"/>
              </w:rPr>
            </w:pPr>
            <w:r>
              <w:rPr>
                <w:rStyle w:val="cit-title"/>
              </w:rPr>
              <w:t>(Nomi)</w:t>
            </w:r>
          </w:p>
        </w:tc>
        <w:tc>
          <w:tcPr>
            <w:tcW w:w="1080" w:type="dxa"/>
          </w:tcPr>
          <w:p w:rsidR="00E82998" w:rsidRDefault="00E82998" w:rsidP="00E35419"/>
        </w:tc>
        <w:tc>
          <w:tcPr>
            <w:tcW w:w="1800" w:type="dxa"/>
          </w:tcPr>
          <w:p w:rsidR="00E82998" w:rsidRDefault="00E82998" w:rsidP="00E35419">
            <w:r>
              <w:t>schools that increased algebra</w:t>
            </w:r>
          </w:p>
          <w:p w:rsidR="00E82998" w:rsidRDefault="00E82998" w:rsidP="00E35419">
            <w:r>
              <w:t>enrollment post-policy for low-ability students</w:t>
            </w:r>
          </w:p>
          <w:p w:rsidR="00E82998" w:rsidRDefault="00E82998" w:rsidP="00E35419">
            <w:proofErr w:type="gramStart"/>
            <w:r>
              <w:t>by</w:t>
            </w:r>
            <w:proofErr w:type="gramEnd"/>
            <w:r>
              <w:t xml:space="preserve"> more than 5%)</w:t>
            </w:r>
          </w:p>
        </w:tc>
        <w:tc>
          <w:tcPr>
            <w:tcW w:w="1260" w:type="dxa"/>
          </w:tcPr>
          <w:p w:rsidR="00E82998" w:rsidRDefault="00E82998" w:rsidP="00E35419">
            <w:r>
              <w:t>Interrupted Time Series</w:t>
            </w:r>
          </w:p>
        </w:tc>
        <w:tc>
          <w:tcPr>
            <w:tcW w:w="1170" w:type="dxa"/>
          </w:tcPr>
          <w:p w:rsidR="00E82998" w:rsidRDefault="00E82998" w:rsidP="00E35419">
            <w:r>
              <w:t>9</w:t>
            </w:r>
            <w:r w:rsidRPr="00260E21">
              <w:rPr>
                <w:vertAlign w:val="superscript"/>
              </w:rPr>
              <w:t>th</w:t>
            </w:r>
            <w:r>
              <w:t xml:space="preserve"> graders in Chicago</w:t>
            </w:r>
          </w:p>
          <w:p w:rsidR="00E82998" w:rsidRDefault="00E82998" w:rsidP="00E35419">
            <w:r>
              <w:t>(17,987)</w:t>
            </w:r>
          </w:p>
        </w:tc>
        <w:tc>
          <w:tcPr>
            <w:tcW w:w="1620" w:type="dxa"/>
          </w:tcPr>
          <w:p w:rsidR="00E82998" w:rsidRDefault="00E82998" w:rsidP="00E35419">
            <w:r>
              <w:t>Peer ability levels for high skill students</w:t>
            </w:r>
          </w:p>
          <w:p w:rsidR="00E82998" w:rsidRDefault="00E82998" w:rsidP="00E35419">
            <w:r>
              <w:t>(1999 difference for affected schools)</w:t>
            </w:r>
          </w:p>
        </w:tc>
        <w:tc>
          <w:tcPr>
            <w:tcW w:w="1080" w:type="dxa"/>
          </w:tcPr>
          <w:p w:rsidR="00E82998" w:rsidRDefault="00E82998" w:rsidP="00E35419">
            <w:r>
              <w:t>Table 2, column 1</w:t>
            </w:r>
          </w:p>
        </w:tc>
        <w:tc>
          <w:tcPr>
            <w:tcW w:w="720" w:type="dxa"/>
          </w:tcPr>
          <w:p w:rsidR="00E82998" w:rsidRDefault="00E82998" w:rsidP="00E35419">
            <w:r>
              <w:t>.030</w:t>
            </w:r>
          </w:p>
        </w:tc>
        <w:tc>
          <w:tcPr>
            <w:tcW w:w="1170" w:type="dxa"/>
          </w:tcPr>
          <w:p w:rsidR="00E82998" w:rsidRDefault="00E82998" w:rsidP="00E35419">
            <w:r>
              <w:t>50%</w:t>
            </w:r>
          </w:p>
        </w:tc>
        <w:tc>
          <w:tcPr>
            <w:tcW w:w="1350" w:type="dxa"/>
          </w:tcPr>
          <w:p w:rsidR="00E82998" w:rsidRDefault="00E82998" w:rsidP="006B2E60"/>
        </w:tc>
      </w:tr>
      <w:tr w:rsidR="00E82998" w:rsidTr="008A2C4E">
        <w:tc>
          <w:tcPr>
            <w:tcW w:w="2880" w:type="dxa"/>
          </w:tcPr>
          <w:p w:rsidR="00E82998" w:rsidRDefault="00E82998" w:rsidP="00E35419">
            <w:pPr>
              <w:rPr>
                <w:rStyle w:val="cit-title"/>
              </w:rPr>
            </w:pPr>
            <w:r>
              <w:rPr>
                <w:rStyle w:val="cit-title"/>
              </w:rPr>
              <w:t>Impact of Dual Enrollment on College Degree Attainment</w:t>
            </w:r>
          </w:p>
          <w:p w:rsidR="00E82998" w:rsidRDefault="00E82998" w:rsidP="00E35419">
            <w:pPr>
              <w:rPr>
                <w:lang w:eastAsia="zh-CN"/>
              </w:rPr>
            </w:pPr>
            <w:r>
              <w:rPr>
                <w:rStyle w:val="cit-title"/>
              </w:rPr>
              <w:t>(An)</w:t>
            </w:r>
          </w:p>
        </w:tc>
        <w:tc>
          <w:tcPr>
            <w:tcW w:w="1080" w:type="dxa"/>
          </w:tcPr>
          <w:p w:rsidR="00E82998" w:rsidRDefault="00E82998" w:rsidP="00E35419">
            <w:r>
              <w:t>yes</w:t>
            </w:r>
          </w:p>
        </w:tc>
        <w:tc>
          <w:tcPr>
            <w:tcW w:w="1800" w:type="dxa"/>
          </w:tcPr>
          <w:p w:rsidR="00E82998" w:rsidRDefault="00E82998" w:rsidP="00E35419">
            <w:r>
              <w:t>Dual enrollment</w:t>
            </w:r>
          </w:p>
        </w:tc>
        <w:tc>
          <w:tcPr>
            <w:tcW w:w="1260" w:type="dxa"/>
          </w:tcPr>
          <w:p w:rsidR="00E82998" w:rsidRDefault="00E82998" w:rsidP="00E35419"/>
        </w:tc>
        <w:tc>
          <w:tcPr>
            <w:tcW w:w="1170" w:type="dxa"/>
          </w:tcPr>
          <w:p w:rsidR="00E82998" w:rsidRDefault="00E82998" w:rsidP="00E35419">
            <w:r>
              <w:t>NELS</w:t>
            </w:r>
          </w:p>
          <w:p w:rsidR="00E82998" w:rsidRDefault="00E82998" w:rsidP="00E35419">
            <w:r>
              <w:t>(8,754)</w:t>
            </w:r>
          </w:p>
        </w:tc>
        <w:tc>
          <w:tcPr>
            <w:tcW w:w="1620" w:type="dxa"/>
          </w:tcPr>
          <w:p w:rsidR="00E82998" w:rsidRDefault="00E82998" w:rsidP="00E35419">
            <w:r>
              <w:t>Any degree obtained</w:t>
            </w:r>
          </w:p>
        </w:tc>
        <w:tc>
          <w:tcPr>
            <w:tcW w:w="1080" w:type="dxa"/>
          </w:tcPr>
          <w:p w:rsidR="00E82998" w:rsidRDefault="00E82998" w:rsidP="00E35419">
            <w:r>
              <w:t>Table 1, Panel A, column 1</w:t>
            </w:r>
          </w:p>
        </w:tc>
        <w:tc>
          <w:tcPr>
            <w:tcW w:w="720" w:type="dxa"/>
          </w:tcPr>
          <w:p w:rsidR="00E82998" w:rsidRDefault="00E82998" w:rsidP="00E35419">
            <w:r>
              <w:t>.043</w:t>
            </w:r>
          </w:p>
        </w:tc>
        <w:tc>
          <w:tcPr>
            <w:tcW w:w="1170" w:type="dxa"/>
          </w:tcPr>
          <w:p w:rsidR="00E82998" w:rsidRDefault="00E82998" w:rsidP="00E35419">
            <w:r>
              <w:t>50%</w:t>
            </w:r>
          </w:p>
        </w:tc>
        <w:tc>
          <w:tcPr>
            <w:tcW w:w="1350" w:type="dxa"/>
          </w:tcPr>
          <w:p w:rsidR="00E82998" w:rsidRDefault="00E82998" w:rsidP="006B2E60"/>
        </w:tc>
      </w:tr>
      <w:tr w:rsidR="00E82998" w:rsidTr="008A2C4E">
        <w:tc>
          <w:tcPr>
            <w:tcW w:w="2880" w:type="dxa"/>
          </w:tcPr>
          <w:p w:rsidR="00E82998" w:rsidRDefault="00E82998" w:rsidP="006B2E60">
            <w:pPr>
              <w:rPr>
                <w:rStyle w:val="cit-title"/>
              </w:rPr>
            </w:pPr>
            <w:r>
              <w:rPr>
                <w:rStyle w:val="cit-title"/>
              </w:rPr>
              <w:t>Life After Vouchers</w:t>
            </w:r>
          </w:p>
          <w:p w:rsidR="00E82998" w:rsidRDefault="00E82998" w:rsidP="00A511E9">
            <w:pPr>
              <w:rPr>
                <w:lang w:eastAsia="zh-CN"/>
              </w:rPr>
            </w:pPr>
            <w:r>
              <w:rPr>
                <w:rStyle w:val="cit-title"/>
              </w:rPr>
              <w:t>(Carlson)</w:t>
            </w:r>
          </w:p>
        </w:tc>
        <w:tc>
          <w:tcPr>
            <w:tcW w:w="1080" w:type="dxa"/>
          </w:tcPr>
          <w:p w:rsidR="00E82998" w:rsidRDefault="00E82998" w:rsidP="006B2E60"/>
        </w:tc>
        <w:tc>
          <w:tcPr>
            <w:tcW w:w="1800" w:type="dxa"/>
          </w:tcPr>
          <w:p w:rsidR="00E82998" w:rsidRDefault="00E82998" w:rsidP="006B2E60">
            <w:r>
              <w:t>Student transferred to public school</w:t>
            </w:r>
          </w:p>
        </w:tc>
        <w:tc>
          <w:tcPr>
            <w:tcW w:w="1260" w:type="dxa"/>
          </w:tcPr>
          <w:p w:rsidR="00E82998" w:rsidRDefault="00E82998" w:rsidP="006B2E60">
            <w:r>
              <w:t>No</w:t>
            </w:r>
          </w:p>
        </w:tc>
        <w:tc>
          <w:tcPr>
            <w:tcW w:w="1170" w:type="dxa"/>
          </w:tcPr>
          <w:p w:rsidR="00E82998" w:rsidRDefault="00E82998" w:rsidP="007F309D">
            <w:r>
              <w:t>3</w:t>
            </w:r>
            <w:r w:rsidRPr="007F309D">
              <w:rPr>
                <w:vertAlign w:val="superscript"/>
              </w:rPr>
              <w:t>rd</w:t>
            </w:r>
            <w:r>
              <w:t>-10</w:t>
            </w:r>
            <w:r w:rsidRPr="007F309D">
              <w:rPr>
                <w:vertAlign w:val="superscript"/>
              </w:rPr>
              <w:t>th</w:t>
            </w:r>
            <w:r>
              <w:t xml:space="preserve"> grade in Milwaukee public </w:t>
            </w:r>
            <w:r>
              <w:lastRenderedPageBreak/>
              <w:t>schools (1,120)</w:t>
            </w:r>
          </w:p>
        </w:tc>
        <w:tc>
          <w:tcPr>
            <w:tcW w:w="1620" w:type="dxa"/>
          </w:tcPr>
          <w:p w:rsidR="00E82998" w:rsidRDefault="00E82998" w:rsidP="006B2E60">
            <w:r>
              <w:lastRenderedPageBreak/>
              <w:t>Math</w:t>
            </w:r>
          </w:p>
        </w:tc>
        <w:tc>
          <w:tcPr>
            <w:tcW w:w="1080" w:type="dxa"/>
          </w:tcPr>
          <w:p w:rsidR="00E82998" w:rsidRDefault="00E82998" w:rsidP="006B2E60">
            <w:r>
              <w:t>Table 5, all students</w:t>
            </w:r>
          </w:p>
        </w:tc>
        <w:tc>
          <w:tcPr>
            <w:tcW w:w="720" w:type="dxa"/>
          </w:tcPr>
          <w:p w:rsidR="00E82998" w:rsidRDefault="00E82998" w:rsidP="006B2E60">
            <w:r>
              <w:t>.092</w:t>
            </w:r>
          </w:p>
        </w:tc>
        <w:tc>
          <w:tcPr>
            <w:tcW w:w="1170" w:type="dxa"/>
          </w:tcPr>
          <w:p w:rsidR="00E82998" w:rsidRDefault="00E82998" w:rsidP="006B2E60">
            <w:r>
              <w:t>36%</w:t>
            </w:r>
          </w:p>
        </w:tc>
        <w:tc>
          <w:tcPr>
            <w:tcW w:w="1350" w:type="dxa"/>
          </w:tcPr>
          <w:p w:rsidR="00E82998" w:rsidRDefault="00E82998" w:rsidP="006B2E60"/>
        </w:tc>
      </w:tr>
      <w:tr w:rsidR="00E82998" w:rsidTr="008A2C4E">
        <w:tc>
          <w:tcPr>
            <w:tcW w:w="2880" w:type="dxa"/>
          </w:tcPr>
          <w:p w:rsidR="00E82998" w:rsidRDefault="00E82998" w:rsidP="00E35419">
            <w:pPr>
              <w:rPr>
                <w:lang w:eastAsia="zh-CN"/>
              </w:rPr>
            </w:pPr>
            <w:r>
              <w:rPr>
                <w:rStyle w:val="cit-title"/>
              </w:rPr>
              <w:lastRenderedPageBreak/>
              <w:t>Teaching Students What They Already Know?</w:t>
            </w:r>
          </w:p>
          <w:p w:rsidR="00E82998" w:rsidRDefault="00E82998" w:rsidP="00E35419">
            <w:pPr>
              <w:rPr>
                <w:lang w:eastAsia="zh-CN"/>
              </w:rPr>
            </w:pPr>
            <w:r>
              <w:rPr>
                <w:lang w:eastAsia="zh-CN"/>
              </w:rPr>
              <w:t>(Engel)</w:t>
            </w:r>
          </w:p>
        </w:tc>
        <w:tc>
          <w:tcPr>
            <w:tcW w:w="1080" w:type="dxa"/>
          </w:tcPr>
          <w:p w:rsidR="00E82998" w:rsidRDefault="00E82998" w:rsidP="00E35419">
            <w:r>
              <w:t>yes</w:t>
            </w:r>
          </w:p>
        </w:tc>
        <w:tc>
          <w:tcPr>
            <w:tcW w:w="1800" w:type="dxa"/>
          </w:tcPr>
          <w:p w:rsidR="00E82998" w:rsidRDefault="00E82998" w:rsidP="00E35419">
            <w:r>
              <w:t>Teaching practices</w:t>
            </w:r>
          </w:p>
        </w:tc>
        <w:tc>
          <w:tcPr>
            <w:tcW w:w="1260" w:type="dxa"/>
          </w:tcPr>
          <w:p w:rsidR="00E82998" w:rsidRDefault="00E82998" w:rsidP="00E35419">
            <w:r>
              <w:t>yes</w:t>
            </w:r>
          </w:p>
        </w:tc>
        <w:tc>
          <w:tcPr>
            <w:tcW w:w="1170" w:type="dxa"/>
          </w:tcPr>
          <w:p w:rsidR="00E82998" w:rsidRDefault="00E82998" w:rsidP="00E35419">
            <w:r>
              <w:t>Kindergarten teachers in ECLS-K</w:t>
            </w:r>
          </w:p>
          <w:p w:rsidR="00E82998" w:rsidRDefault="00E82998" w:rsidP="00E35419">
            <w:r>
              <w:t>(2,174)</w:t>
            </w:r>
          </w:p>
        </w:tc>
        <w:tc>
          <w:tcPr>
            <w:tcW w:w="1620" w:type="dxa"/>
          </w:tcPr>
          <w:p w:rsidR="00E82998" w:rsidRDefault="00E82998" w:rsidP="00E35419">
            <w:r>
              <w:t>Math</w:t>
            </w:r>
          </w:p>
          <w:p w:rsidR="00E82998" w:rsidRDefault="00E82998" w:rsidP="00E35419">
            <w:r>
              <w:t>(spring of kindergarten)</w:t>
            </w:r>
          </w:p>
        </w:tc>
        <w:tc>
          <w:tcPr>
            <w:tcW w:w="1080" w:type="dxa"/>
          </w:tcPr>
          <w:p w:rsidR="00E82998" w:rsidRDefault="00E82998" w:rsidP="00E35419">
            <w:r>
              <w:t>Table 6, column 1</w:t>
            </w:r>
          </w:p>
        </w:tc>
        <w:tc>
          <w:tcPr>
            <w:tcW w:w="720" w:type="dxa"/>
          </w:tcPr>
          <w:p w:rsidR="00E82998" w:rsidRDefault="00E82998" w:rsidP="00E35419">
            <w:r>
              <w:t>.059</w:t>
            </w:r>
          </w:p>
        </w:tc>
        <w:tc>
          <w:tcPr>
            <w:tcW w:w="1170" w:type="dxa"/>
          </w:tcPr>
          <w:p w:rsidR="00E82998" w:rsidRDefault="00E82998" w:rsidP="00E35419">
            <w:r>
              <w:t>28%</w:t>
            </w:r>
          </w:p>
        </w:tc>
        <w:tc>
          <w:tcPr>
            <w:tcW w:w="1350" w:type="dxa"/>
          </w:tcPr>
          <w:p w:rsidR="00E82998" w:rsidRDefault="00E82998" w:rsidP="00E35419">
            <w:pPr>
              <w:rPr>
                <w:lang w:eastAsia="zh-CN"/>
              </w:rPr>
            </w:pPr>
          </w:p>
        </w:tc>
      </w:tr>
      <w:tr w:rsidR="00E82998" w:rsidTr="008A2C4E">
        <w:tc>
          <w:tcPr>
            <w:tcW w:w="2880" w:type="dxa"/>
          </w:tcPr>
          <w:p w:rsidR="00E82998" w:rsidRDefault="00E82998" w:rsidP="00E35419">
            <w:pPr>
              <w:rPr>
                <w:rStyle w:val="cit-title"/>
              </w:rPr>
            </w:pPr>
            <w:r>
              <w:rPr>
                <w:rStyle w:val="cit-title"/>
              </w:rPr>
              <w:t>Unintended Consequences of an Algebra-for-All Policy on High-Skill Students</w:t>
            </w:r>
          </w:p>
          <w:p w:rsidR="00E82998" w:rsidRDefault="00E82998" w:rsidP="00E35419">
            <w:pPr>
              <w:rPr>
                <w:lang w:eastAsia="zh-CN"/>
              </w:rPr>
            </w:pPr>
            <w:r>
              <w:rPr>
                <w:rStyle w:val="cit-title"/>
              </w:rPr>
              <w:t>(Nomi)</w:t>
            </w:r>
          </w:p>
        </w:tc>
        <w:tc>
          <w:tcPr>
            <w:tcW w:w="1080" w:type="dxa"/>
          </w:tcPr>
          <w:p w:rsidR="00E82998" w:rsidRDefault="00E82998" w:rsidP="00E35419"/>
        </w:tc>
        <w:tc>
          <w:tcPr>
            <w:tcW w:w="1800" w:type="dxa"/>
          </w:tcPr>
          <w:p w:rsidR="00E82998" w:rsidRDefault="00E82998" w:rsidP="00E35419">
            <w:r>
              <w:t>schools that increased algebra</w:t>
            </w:r>
          </w:p>
          <w:p w:rsidR="00E82998" w:rsidRDefault="00E82998" w:rsidP="00E35419">
            <w:r>
              <w:t>enrollment post-policy for low-ability students</w:t>
            </w:r>
          </w:p>
          <w:p w:rsidR="00E82998" w:rsidRDefault="00E82998" w:rsidP="00E35419">
            <w:proofErr w:type="gramStart"/>
            <w:r>
              <w:t>by</w:t>
            </w:r>
            <w:proofErr w:type="gramEnd"/>
            <w:r>
              <w:t xml:space="preserve"> more than 5%)</w:t>
            </w:r>
          </w:p>
        </w:tc>
        <w:tc>
          <w:tcPr>
            <w:tcW w:w="1260" w:type="dxa"/>
          </w:tcPr>
          <w:p w:rsidR="00E82998" w:rsidRDefault="00E82998" w:rsidP="00E35419">
            <w:r>
              <w:t>Interrupted Time Series</w:t>
            </w:r>
          </w:p>
        </w:tc>
        <w:tc>
          <w:tcPr>
            <w:tcW w:w="1170" w:type="dxa"/>
          </w:tcPr>
          <w:p w:rsidR="00E82998" w:rsidRDefault="00E82998" w:rsidP="00E35419">
            <w:r>
              <w:t>9</w:t>
            </w:r>
            <w:r w:rsidRPr="007F309D">
              <w:rPr>
                <w:vertAlign w:val="superscript"/>
              </w:rPr>
              <w:t>th</w:t>
            </w:r>
            <w:r>
              <w:t xml:space="preserve"> graders in Chicago</w:t>
            </w:r>
          </w:p>
          <w:p w:rsidR="00E82998" w:rsidRDefault="00E82998" w:rsidP="00E35419">
            <w:r>
              <w:t>(17,987)</w:t>
            </w:r>
          </w:p>
        </w:tc>
        <w:tc>
          <w:tcPr>
            <w:tcW w:w="1620" w:type="dxa"/>
          </w:tcPr>
          <w:p w:rsidR="00E82998" w:rsidRDefault="00E82998" w:rsidP="00E35419">
            <w:r>
              <w:t>9</w:t>
            </w:r>
            <w:r w:rsidRPr="00260E21">
              <w:rPr>
                <w:vertAlign w:val="superscript"/>
              </w:rPr>
              <w:t>th</w:t>
            </w:r>
            <w:r>
              <w:t xml:space="preserve"> grade math scores</w:t>
            </w:r>
          </w:p>
          <w:p w:rsidR="00E82998" w:rsidRDefault="00E82998" w:rsidP="00E35419">
            <w:r>
              <w:t>(1999 difference for affected schools)</w:t>
            </w:r>
          </w:p>
        </w:tc>
        <w:tc>
          <w:tcPr>
            <w:tcW w:w="1080" w:type="dxa"/>
          </w:tcPr>
          <w:p w:rsidR="00E82998" w:rsidRDefault="00E82998" w:rsidP="00E35419">
            <w:r>
              <w:t>Table 3, column 1</w:t>
            </w:r>
          </w:p>
        </w:tc>
        <w:tc>
          <w:tcPr>
            <w:tcW w:w="720" w:type="dxa"/>
          </w:tcPr>
          <w:p w:rsidR="00E82998" w:rsidRDefault="00E82998" w:rsidP="00E35419">
            <w:r>
              <w:t>.020</w:t>
            </w:r>
          </w:p>
        </w:tc>
        <w:tc>
          <w:tcPr>
            <w:tcW w:w="1170" w:type="dxa"/>
          </w:tcPr>
          <w:p w:rsidR="00E82998" w:rsidRDefault="00E82998" w:rsidP="00E35419">
            <w:r>
              <w:t>26%</w:t>
            </w:r>
          </w:p>
        </w:tc>
        <w:tc>
          <w:tcPr>
            <w:tcW w:w="1350" w:type="dxa"/>
          </w:tcPr>
          <w:p w:rsidR="00E82998" w:rsidRDefault="00E82998" w:rsidP="00E35419">
            <w:pPr>
              <w:rPr>
                <w:lang w:eastAsia="zh-CN"/>
              </w:rPr>
            </w:pPr>
          </w:p>
        </w:tc>
      </w:tr>
      <w:tr w:rsidR="00E82998" w:rsidTr="008A2C4E">
        <w:tc>
          <w:tcPr>
            <w:tcW w:w="2880" w:type="dxa"/>
          </w:tcPr>
          <w:p w:rsidR="00E82998" w:rsidRDefault="00E82998" w:rsidP="00E35419">
            <w:pPr>
              <w:rPr>
                <w:rStyle w:val="cit-title"/>
              </w:rPr>
            </w:pPr>
            <w:r>
              <w:rPr>
                <w:rStyle w:val="cit-title"/>
              </w:rPr>
              <w:t>Can High Schools Reduce College Enrollment Gaps With a New Counseling Model?</w:t>
            </w:r>
          </w:p>
          <w:p w:rsidR="00E82998" w:rsidRDefault="00E82998" w:rsidP="00E35419">
            <w:pPr>
              <w:rPr>
                <w:lang w:eastAsia="zh-CN"/>
              </w:rPr>
            </w:pPr>
            <w:r>
              <w:rPr>
                <w:rStyle w:val="cit-title"/>
              </w:rPr>
              <w:t>(Stephan)</w:t>
            </w:r>
          </w:p>
        </w:tc>
        <w:tc>
          <w:tcPr>
            <w:tcW w:w="1080" w:type="dxa"/>
          </w:tcPr>
          <w:p w:rsidR="00E82998" w:rsidRDefault="00E82998" w:rsidP="00E35419"/>
        </w:tc>
        <w:tc>
          <w:tcPr>
            <w:tcW w:w="1800" w:type="dxa"/>
          </w:tcPr>
          <w:p w:rsidR="00E82998" w:rsidRDefault="00E82998" w:rsidP="00E35419">
            <w:r>
              <w:t>Coach in school for college going</w:t>
            </w:r>
          </w:p>
        </w:tc>
        <w:tc>
          <w:tcPr>
            <w:tcW w:w="1260" w:type="dxa"/>
          </w:tcPr>
          <w:p w:rsidR="00E82998" w:rsidRDefault="00E82998" w:rsidP="00E35419"/>
        </w:tc>
        <w:tc>
          <w:tcPr>
            <w:tcW w:w="1170" w:type="dxa"/>
          </w:tcPr>
          <w:p w:rsidR="00E82998" w:rsidRDefault="00E82998" w:rsidP="00E35419">
            <w:r>
              <w:t>9</w:t>
            </w:r>
            <w:r w:rsidRPr="007F309D">
              <w:rPr>
                <w:vertAlign w:val="superscript"/>
              </w:rPr>
              <w:t>th</w:t>
            </w:r>
            <w:r>
              <w:t>-12</w:t>
            </w:r>
            <w:r w:rsidRPr="007F309D">
              <w:rPr>
                <w:vertAlign w:val="superscript"/>
              </w:rPr>
              <w:t>th</w:t>
            </w:r>
            <w:r>
              <w:t xml:space="preserve"> grade schools in Chicago</w:t>
            </w:r>
          </w:p>
          <w:p w:rsidR="00E82998" w:rsidRDefault="00E82998" w:rsidP="00E35419">
            <w:r>
              <w:t>(54)</w:t>
            </w:r>
          </w:p>
        </w:tc>
        <w:tc>
          <w:tcPr>
            <w:tcW w:w="1620" w:type="dxa"/>
          </w:tcPr>
          <w:p w:rsidR="00E82998" w:rsidRDefault="00E82998" w:rsidP="00E35419">
            <w:r>
              <w:t>Applied to 3+ colleges</w:t>
            </w:r>
          </w:p>
        </w:tc>
        <w:tc>
          <w:tcPr>
            <w:tcW w:w="1080" w:type="dxa"/>
          </w:tcPr>
          <w:p w:rsidR="00E82998" w:rsidRDefault="00E82998" w:rsidP="00E35419">
            <w:r>
              <w:t>Table 4,  column 1</w:t>
            </w:r>
          </w:p>
        </w:tc>
        <w:tc>
          <w:tcPr>
            <w:tcW w:w="720" w:type="dxa"/>
          </w:tcPr>
          <w:p w:rsidR="00E82998" w:rsidRDefault="00E82998" w:rsidP="00E35419">
            <w:r>
              <w:t>.35</w:t>
            </w:r>
          </w:p>
        </w:tc>
        <w:tc>
          <w:tcPr>
            <w:tcW w:w="1170" w:type="dxa"/>
          </w:tcPr>
          <w:p w:rsidR="00E82998" w:rsidRDefault="00E82998" w:rsidP="00E35419">
            <w:r>
              <w:t>23%</w:t>
            </w:r>
          </w:p>
        </w:tc>
        <w:tc>
          <w:tcPr>
            <w:tcW w:w="1350" w:type="dxa"/>
          </w:tcPr>
          <w:p w:rsidR="00E82998" w:rsidRDefault="00E82998" w:rsidP="006B2E60"/>
        </w:tc>
      </w:tr>
      <w:tr w:rsidR="00E82998" w:rsidTr="008A2C4E">
        <w:tc>
          <w:tcPr>
            <w:tcW w:w="2880" w:type="dxa"/>
          </w:tcPr>
          <w:p w:rsidR="00E82998" w:rsidRDefault="00E82998" w:rsidP="00E35419">
            <w:pPr>
              <w:rPr>
                <w:rStyle w:val="cit-title"/>
              </w:rPr>
            </w:pPr>
            <w:r>
              <w:rPr>
                <w:rStyle w:val="cit-title"/>
              </w:rPr>
              <w:t>Can Research Design Explain Variation in Head Start Research Results?</w:t>
            </w:r>
          </w:p>
          <w:p w:rsidR="00E82998" w:rsidRDefault="00E82998" w:rsidP="00E35419">
            <w:pPr>
              <w:rPr>
                <w:lang w:eastAsia="zh-CN"/>
              </w:rPr>
            </w:pPr>
            <w:r>
              <w:rPr>
                <w:rStyle w:val="cit-title"/>
              </w:rPr>
              <w:t>(</w:t>
            </w:r>
            <w:proofErr w:type="spellStart"/>
            <w:r>
              <w:rPr>
                <w:rStyle w:val="cit-title"/>
              </w:rPr>
              <w:t>Shager</w:t>
            </w:r>
            <w:proofErr w:type="spellEnd"/>
            <w:r>
              <w:rPr>
                <w:rStyle w:val="cit-title"/>
              </w:rPr>
              <w:t>)</w:t>
            </w:r>
          </w:p>
        </w:tc>
        <w:tc>
          <w:tcPr>
            <w:tcW w:w="1080" w:type="dxa"/>
          </w:tcPr>
          <w:p w:rsidR="00E82998" w:rsidRDefault="00E82998" w:rsidP="00E35419"/>
        </w:tc>
        <w:tc>
          <w:tcPr>
            <w:tcW w:w="1800" w:type="dxa"/>
          </w:tcPr>
          <w:p w:rsidR="00E82998" w:rsidRDefault="00E82998" w:rsidP="00E35419">
            <w:r>
              <w:t>Elements of study design</w:t>
            </w:r>
          </w:p>
        </w:tc>
        <w:tc>
          <w:tcPr>
            <w:tcW w:w="1260" w:type="dxa"/>
          </w:tcPr>
          <w:p w:rsidR="00E82998" w:rsidRDefault="00E82998" w:rsidP="00E35419"/>
        </w:tc>
        <w:tc>
          <w:tcPr>
            <w:tcW w:w="1170" w:type="dxa"/>
          </w:tcPr>
          <w:p w:rsidR="00E82998" w:rsidRDefault="00E82998" w:rsidP="00E35419">
            <w:r>
              <w:t>Studies of Head Start on Cognition</w:t>
            </w:r>
          </w:p>
          <w:p w:rsidR="00E82998" w:rsidRDefault="00E82998" w:rsidP="00E35419">
            <w:r>
              <w:t>(20)</w:t>
            </w:r>
          </w:p>
        </w:tc>
        <w:tc>
          <w:tcPr>
            <w:tcW w:w="1620" w:type="dxa"/>
          </w:tcPr>
          <w:p w:rsidR="00E82998" w:rsidRDefault="00E82998" w:rsidP="00E35419">
            <w:r>
              <w:t>Reported effect size</w:t>
            </w:r>
          </w:p>
        </w:tc>
        <w:tc>
          <w:tcPr>
            <w:tcW w:w="1080" w:type="dxa"/>
          </w:tcPr>
          <w:p w:rsidR="00E82998" w:rsidRDefault="00E82998" w:rsidP="00E35419">
            <w:r>
              <w:t>Table 4, Model 1</w:t>
            </w:r>
          </w:p>
        </w:tc>
        <w:tc>
          <w:tcPr>
            <w:tcW w:w="720" w:type="dxa"/>
          </w:tcPr>
          <w:p w:rsidR="00E82998" w:rsidRDefault="00E82998" w:rsidP="00E35419">
            <w:r>
              <w:t>.524</w:t>
            </w:r>
          </w:p>
        </w:tc>
        <w:tc>
          <w:tcPr>
            <w:tcW w:w="1170" w:type="dxa"/>
          </w:tcPr>
          <w:p w:rsidR="00E82998" w:rsidRDefault="00E82998" w:rsidP="00E35419">
            <w:r>
              <w:t>16%</w:t>
            </w:r>
          </w:p>
        </w:tc>
        <w:tc>
          <w:tcPr>
            <w:tcW w:w="1350" w:type="dxa"/>
          </w:tcPr>
          <w:p w:rsidR="00E82998" w:rsidRDefault="00E82998" w:rsidP="00E35419"/>
        </w:tc>
      </w:tr>
      <w:tr w:rsidR="00E82998" w:rsidTr="008A2C4E">
        <w:tc>
          <w:tcPr>
            <w:tcW w:w="2880" w:type="dxa"/>
          </w:tcPr>
          <w:p w:rsidR="00E82998" w:rsidRDefault="00E82998" w:rsidP="006B2E60">
            <w:pPr>
              <w:rPr>
                <w:rStyle w:val="cit-title"/>
              </w:rPr>
            </w:pPr>
            <w:r>
              <w:rPr>
                <w:rStyle w:val="cit-title"/>
              </w:rPr>
              <w:t xml:space="preserve">Can High Schools Reduce College Enrollment Gaps With a New Counseling </w:t>
            </w:r>
            <w:r>
              <w:rPr>
                <w:rStyle w:val="cit-title"/>
              </w:rPr>
              <w:lastRenderedPageBreak/>
              <w:t>Model?</w:t>
            </w:r>
          </w:p>
          <w:p w:rsidR="00E82998" w:rsidRDefault="00E82998" w:rsidP="006B2E60">
            <w:pPr>
              <w:rPr>
                <w:lang w:eastAsia="zh-CN"/>
              </w:rPr>
            </w:pPr>
            <w:r>
              <w:rPr>
                <w:rStyle w:val="cit-title"/>
              </w:rPr>
              <w:t>(Stephan)</w:t>
            </w:r>
          </w:p>
        </w:tc>
        <w:tc>
          <w:tcPr>
            <w:tcW w:w="1080" w:type="dxa"/>
          </w:tcPr>
          <w:p w:rsidR="00E82998" w:rsidRDefault="00E82998" w:rsidP="006B2E60"/>
        </w:tc>
        <w:tc>
          <w:tcPr>
            <w:tcW w:w="1800" w:type="dxa"/>
          </w:tcPr>
          <w:p w:rsidR="00E82998" w:rsidRDefault="00E82998" w:rsidP="00D451D6">
            <w:r>
              <w:t>Coach in school for college going</w:t>
            </w:r>
          </w:p>
        </w:tc>
        <w:tc>
          <w:tcPr>
            <w:tcW w:w="1260" w:type="dxa"/>
          </w:tcPr>
          <w:p w:rsidR="00E82998" w:rsidRDefault="00E82998" w:rsidP="006B2E60"/>
        </w:tc>
        <w:tc>
          <w:tcPr>
            <w:tcW w:w="1170" w:type="dxa"/>
          </w:tcPr>
          <w:p w:rsidR="00E82998" w:rsidRDefault="00E82998" w:rsidP="006B2E60">
            <w:r>
              <w:t>9</w:t>
            </w:r>
            <w:r w:rsidRPr="007F309D">
              <w:rPr>
                <w:vertAlign w:val="superscript"/>
              </w:rPr>
              <w:t>th</w:t>
            </w:r>
            <w:r>
              <w:t>-12</w:t>
            </w:r>
            <w:r w:rsidRPr="007F309D">
              <w:rPr>
                <w:vertAlign w:val="superscript"/>
              </w:rPr>
              <w:t>th</w:t>
            </w:r>
            <w:r>
              <w:t xml:space="preserve"> grade schools </w:t>
            </w:r>
            <w:r>
              <w:lastRenderedPageBreak/>
              <w:t>in Chicago</w:t>
            </w:r>
          </w:p>
          <w:p w:rsidR="00E82998" w:rsidRDefault="00E82998" w:rsidP="006B2E60">
            <w:r>
              <w:t>(54)</w:t>
            </w:r>
          </w:p>
        </w:tc>
        <w:tc>
          <w:tcPr>
            <w:tcW w:w="1620" w:type="dxa"/>
          </w:tcPr>
          <w:p w:rsidR="00E82998" w:rsidRDefault="00E82998" w:rsidP="006B2E60">
            <w:r>
              <w:lastRenderedPageBreak/>
              <w:t xml:space="preserve">Enrollment in less selective 4-yr college </w:t>
            </w:r>
            <w:r>
              <w:lastRenderedPageBreak/>
              <w:t>vs 2-yr</w:t>
            </w:r>
          </w:p>
        </w:tc>
        <w:tc>
          <w:tcPr>
            <w:tcW w:w="1080" w:type="dxa"/>
          </w:tcPr>
          <w:p w:rsidR="00E82998" w:rsidRDefault="00E82998" w:rsidP="006B2E60">
            <w:r>
              <w:lastRenderedPageBreak/>
              <w:t>Table 3, column 3</w:t>
            </w:r>
          </w:p>
        </w:tc>
        <w:tc>
          <w:tcPr>
            <w:tcW w:w="720" w:type="dxa"/>
          </w:tcPr>
          <w:p w:rsidR="00E82998" w:rsidRDefault="00E82998" w:rsidP="006B2E60">
            <w:r>
              <w:t>.27</w:t>
            </w:r>
          </w:p>
        </w:tc>
        <w:tc>
          <w:tcPr>
            <w:tcW w:w="1170" w:type="dxa"/>
          </w:tcPr>
          <w:p w:rsidR="00E82998" w:rsidRDefault="00E82998" w:rsidP="006B2E60">
            <w:r>
              <w:t>2%</w:t>
            </w:r>
          </w:p>
        </w:tc>
        <w:tc>
          <w:tcPr>
            <w:tcW w:w="1350" w:type="dxa"/>
          </w:tcPr>
          <w:p w:rsidR="00E82998" w:rsidRDefault="00E82998" w:rsidP="006B2E60"/>
        </w:tc>
      </w:tr>
      <w:tr w:rsidR="00E82998" w:rsidTr="008A2C4E">
        <w:tc>
          <w:tcPr>
            <w:tcW w:w="2880" w:type="dxa"/>
          </w:tcPr>
          <w:p w:rsidR="00E82998" w:rsidRDefault="00E82998" w:rsidP="00C24008">
            <w:pPr>
              <w:rPr>
                <w:rStyle w:val="cit-title"/>
              </w:rPr>
            </w:pPr>
            <w:r>
              <w:rPr>
                <w:rStyle w:val="cit-title"/>
              </w:rPr>
              <w:lastRenderedPageBreak/>
              <w:t>Balancing Career and Technical Education With Academic Coursework</w:t>
            </w:r>
          </w:p>
          <w:p w:rsidR="00E82998" w:rsidRDefault="00E82998" w:rsidP="00C24008">
            <w:pPr>
              <w:rPr>
                <w:lang w:eastAsia="zh-CN"/>
              </w:rPr>
            </w:pPr>
            <w:r>
              <w:rPr>
                <w:rStyle w:val="cit-title"/>
              </w:rPr>
              <w:t>(</w:t>
            </w:r>
            <w:proofErr w:type="spellStart"/>
            <w:r>
              <w:rPr>
                <w:rStyle w:val="cit-title"/>
              </w:rPr>
              <w:t>Bozick</w:t>
            </w:r>
            <w:proofErr w:type="spellEnd"/>
            <w:r>
              <w:rPr>
                <w:rStyle w:val="cit-title"/>
              </w:rPr>
              <w:t>)</w:t>
            </w:r>
          </w:p>
        </w:tc>
        <w:tc>
          <w:tcPr>
            <w:tcW w:w="1080" w:type="dxa"/>
          </w:tcPr>
          <w:p w:rsidR="00E82998" w:rsidRDefault="00E82998" w:rsidP="00C24008"/>
        </w:tc>
        <w:tc>
          <w:tcPr>
            <w:tcW w:w="1800" w:type="dxa"/>
          </w:tcPr>
          <w:p w:rsidR="00E82998" w:rsidRDefault="00E82998" w:rsidP="00C24008">
            <w:r>
              <w:t>Occupational courses taken in high school</w:t>
            </w:r>
          </w:p>
        </w:tc>
        <w:tc>
          <w:tcPr>
            <w:tcW w:w="1260" w:type="dxa"/>
          </w:tcPr>
          <w:p w:rsidR="00E82998" w:rsidRDefault="00E82998" w:rsidP="00C24008">
            <w:r>
              <w:t>Student fixed effects</w:t>
            </w:r>
          </w:p>
        </w:tc>
        <w:tc>
          <w:tcPr>
            <w:tcW w:w="1170" w:type="dxa"/>
          </w:tcPr>
          <w:p w:rsidR="00E82998" w:rsidRDefault="00E82998" w:rsidP="00C24008">
            <w:r>
              <w:t>ELS: 2002</w:t>
            </w:r>
          </w:p>
          <w:p w:rsidR="00E82998" w:rsidRDefault="00E82998" w:rsidP="00C24008">
            <w:r>
              <w:t>(7,156)</w:t>
            </w:r>
          </w:p>
        </w:tc>
        <w:tc>
          <w:tcPr>
            <w:tcW w:w="1620" w:type="dxa"/>
          </w:tcPr>
          <w:p w:rsidR="00E82998" w:rsidRDefault="00E82998" w:rsidP="00C24008">
            <w:r>
              <w:t>Math achievement</w:t>
            </w:r>
          </w:p>
        </w:tc>
        <w:tc>
          <w:tcPr>
            <w:tcW w:w="1080" w:type="dxa"/>
          </w:tcPr>
          <w:p w:rsidR="00E82998" w:rsidRDefault="00E82998" w:rsidP="00C24008">
            <w:r>
              <w:t>Table 3, column 1</w:t>
            </w:r>
          </w:p>
        </w:tc>
        <w:tc>
          <w:tcPr>
            <w:tcW w:w="720" w:type="dxa"/>
          </w:tcPr>
          <w:p w:rsidR="00E82998" w:rsidRDefault="00E82998" w:rsidP="00C24008">
            <w:r>
              <w:t>.003</w:t>
            </w:r>
          </w:p>
        </w:tc>
        <w:tc>
          <w:tcPr>
            <w:tcW w:w="1170" w:type="dxa"/>
          </w:tcPr>
          <w:p w:rsidR="00E82998" w:rsidRDefault="00E82998" w:rsidP="00C24008">
            <w:r>
              <w:t>-617%</w:t>
            </w:r>
          </w:p>
        </w:tc>
        <w:tc>
          <w:tcPr>
            <w:tcW w:w="1350" w:type="dxa"/>
          </w:tcPr>
          <w:p w:rsidR="00E82998" w:rsidRDefault="00E82998" w:rsidP="00C24008">
            <w:r>
              <w:t>7.18</w:t>
            </w:r>
          </w:p>
        </w:tc>
      </w:tr>
    </w:tbl>
    <w:p w:rsidR="00222B9D" w:rsidRDefault="00A35A23" w:rsidP="00397A94">
      <w:pPr>
        <w:rPr>
          <w:rStyle w:val="cit-auth"/>
        </w:rPr>
      </w:pPr>
      <w:proofErr w:type="gramStart"/>
      <w:r w:rsidRPr="00A35A23">
        <w:rPr>
          <w:vertAlign w:val="superscript"/>
        </w:rPr>
        <w:t>a</w:t>
      </w:r>
      <w:proofErr w:type="gramEnd"/>
      <w:r>
        <w:rPr>
          <w:rStyle w:val="cit-auth"/>
        </w:rPr>
        <w:t xml:space="preserve"> </w:t>
      </w:r>
      <w:r w:rsidR="00066FA2">
        <w:rPr>
          <w:rStyle w:val="cit-auth"/>
        </w:rPr>
        <w:t>Degrees of freedom</w:t>
      </w:r>
      <w:r>
        <w:rPr>
          <w:rStyle w:val="cit-auth"/>
        </w:rPr>
        <w:t xml:space="preserve"> for calculating threshold value of r </w:t>
      </w:r>
      <w:r w:rsidR="00066FA2">
        <w:rPr>
          <w:rStyle w:val="cit-auth"/>
        </w:rPr>
        <w:t>are defined at the level of the predictor of interest, subtracting the number of parameters estimated at that level</w:t>
      </w:r>
      <w:r>
        <w:rPr>
          <w:rStyle w:val="cit-auth"/>
        </w:rPr>
        <w:t xml:space="preserve"> (including parameters estimated in a propensity model)</w:t>
      </w:r>
      <w:r w:rsidR="00066FA2">
        <w:rPr>
          <w:rStyle w:val="cit-auth"/>
        </w:rPr>
        <w:t>.</w:t>
      </w:r>
    </w:p>
    <w:p w:rsidR="00D831EA" w:rsidRDefault="00D831EA" w:rsidP="00397A94">
      <w:pPr>
        <w:rPr>
          <w:rStyle w:val="cit-auth"/>
        </w:rPr>
      </w:pPr>
    </w:p>
    <w:p w:rsidR="00867430" w:rsidRDefault="00867430" w:rsidP="00397A94">
      <w:r>
        <w:rPr>
          <w:rStyle w:val="cit-auth"/>
        </w:rPr>
        <w:t xml:space="preserve">Calculations can be conducted from spreadsheet at </w:t>
      </w:r>
      <w:hyperlink r:id="rId152" w:anchor="causal" w:history="1">
        <w:r w:rsidR="009E6812" w:rsidRPr="00555510">
          <w:rPr>
            <w:rStyle w:val="Hyperlink"/>
          </w:rPr>
          <w:t>https://www.msu.edu/~kenfrank/research.htm#causal</w:t>
        </w:r>
      </w:hyperlink>
      <w:r w:rsidR="00216828">
        <w:rPr>
          <w:rStyle w:val="cit-auth"/>
        </w:rPr>
        <w:t>.</w:t>
      </w:r>
    </w:p>
    <w:p w:rsidR="00D831EA" w:rsidRDefault="00D831EA" w:rsidP="00D831EA"/>
    <w:p w:rsidR="00D831EA" w:rsidRDefault="00D831EA" w:rsidP="00D831EA">
      <w:pPr>
        <w:rPr>
          <w:rStyle w:val="cit-auth"/>
        </w:rPr>
      </w:pPr>
      <w:r>
        <w:t>Studies listed in order of % robustness.</w:t>
      </w:r>
    </w:p>
    <w:p w:rsidR="00D831EA" w:rsidRDefault="00D831EA" w:rsidP="00397A94">
      <w:pPr>
        <w:rPr>
          <w:rStyle w:val="cit-auth"/>
        </w:rPr>
        <w:sectPr w:rsidR="00D831EA" w:rsidSect="00A511E9">
          <w:pgSz w:w="15840" w:h="12240" w:orient="landscape"/>
          <w:pgMar w:top="1800" w:right="1440" w:bottom="1800" w:left="1440" w:header="720" w:footer="720" w:gutter="0"/>
          <w:cols w:space="720"/>
          <w:docGrid w:linePitch="360"/>
        </w:sectPr>
      </w:pPr>
    </w:p>
    <w:p w:rsidR="00A35A23" w:rsidRDefault="00A35A23" w:rsidP="00397A94">
      <w:pPr>
        <w:rPr>
          <w:rStyle w:val="cit-auth"/>
        </w:rPr>
      </w:pPr>
    </w:p>
    <w:p w:rsidR="00867430" w:rsidRDefault="00867430"/>
    <w:p w:rsidR="00867430" w:rsidRDefault="00867430" w:rsidP="00867430"/>
    <w:p w:rsidR="00867430" w:rsidRDefault="00867430" w:rsidP="00867430"/>
    <w:p w:rsidR="00867430" w:rsidRDefault="00867430" w:rsidP="00867430">
      <w:pPr>
        <w:widowControl w:val="0"/>
        <w:spacing w:line="480" w:lineRule="auto"/>
        <w:jc w:val="center"/>
      </w:pPr>
      <w:r>
        <w:t>Figure Captions</w:t>
      </w:r>
    </w:p>
    <w:p w:rsidR="00867430" w:rsidRDefault="00867430" w:rsidP="00867430">
      <w:pPr>
        <w:rPr>
          <w:i/>
        </w:rPr>
      </w:pPr>
    </w:p>
    <w:p w:rsidR="00867430" w:rsidRDefault="00867430" w:rsidP="00867430">
      <w:proofErr w:type="gramStart"/>
      <w:r>
        <w:rPr>
          <w:i/>
        </w:rPr>
        <w:t>Figure 1</w:t>
      </w:r>
      <w:r>
        <w:t>.</w:t>
      </w:r>
      <w:proofErr w:type="gramEnd"/>
      <w:r>
        <w:t xml:space="preserve"> Estimated Treatment Effects in Hypothetical Studies A and B Relative to a Threshold for Inference</w:t>
      </w:r>
    </w:p>
    <w:p w:rsidR="00867430" w:rsidRDefault="00867430" w:rsidP="00867430"/>
    <w:p w:rsidR="00085ADF" w:rsidRDefault="00867430" w:rsidP="00D4565B">
      <w:pPr>
        <w:pStyle w:val="NormalWeb"/>
        <w:widowControl w:val="0"/>
        <w:spacing w:before="0" w:beforeAutospacing="0" w:after="0" w:afterAutospacing="0" w:line="480" w:lineRule="auto"/>
        <w:textAlignment w:val="top"/>
        <w:rPr>
          <w:i/>
        </w:rPr>
      </w:pPr>
      <w:proofErr w:type="gramStart"/>
      <w:r>
        <w:rPr>
          <w:i/>
        </w:rPr>
        <w:t xml:space="preserve">Figure </w:t>
      </w:r>
      <w:r w:rsidR="00D4565B">
        <w:rPr>
          <w:i/>
        </w:rPr>
        <w:t>2</w:t>
      </w:r>
      <w:r>
        <w:t>.</w:t>
      </w:r>
      <w:proofErr w:type="gramEnd"/>
      <w:r>
        <w:t xml:space="preserve"> </w:t>
      </w:r>
      <w:r w:rsidR="00085ADF">
        <w:t>Example Replacement of Cases from Non-Volunteer Schools to Invalidate Inference of an Effect of the Open Court Curriculum</w:t>
      </w:r>
      <w:r w:rsidR="00085ADF">
        <w:rPr>
          <w:i/>
        </w:rPr>
        <w:t xml:space="preserve"> </w:t>
      </w:r>
    </w:p>
    <w:p w:rsidR="00D4565B" w:rsidRDefault="00D4565B" w:rsidP="00D4565B">
      <w:pPr>
        <w:pStyle w:val="NormalWeb"/>
        <w:widowControl w:val="0"/>
        <w:spacing w:before="0" w:beforeAutospacing="0" w:after="0" w:afterAutospacing="0" w:line="480" w:lineRule="auto"/>
        <w:textAlignment w:val="top"/>
      </w:pPr>
      <w:proofErr w:type="gramStart"/>
      <w:r>
        <w:rPr>
          <w:i/>
        </w:rPr>
        <w:t>Figure 3</w:t>
      </w:r>
      <w:r>
        <w:t>.</w:t>
      </w:r>
      <w:proofErr w:type="gramEnd"/>
      <w:r>
        <w:t xml:space="preserve"> </w:t>
      </w:r>
      <w:proofErr w:type="gramStart"/>
      <w:r>
        <w:t>Effect of Retention on Reading Achievement in Retention Schools (from Hong and Raudenbush, 2005, Figure 2, p. 218).</w:t>
      </w:r>
      <w:proofErr w:type="gramEnd"/>
    </w:p>
    <w:p w:rsidR="00D4565B" w:rsidRDefault="00D4565B" w:rsidP="00D4565B">
      <w:pPr>
        <w:pStyle w:val="NormalWeb"/>
        <w:widowControl w:val="0"/>
        <w:spacing w:before="0" w:beforeAutospacing="0" w:after="0" w:afterAutospacing="0" w:line="480" w:lineRule="auto"/>
        <w:textAlignment w:val="top"/>
      </w:pPr>
      <w:proofErr w:type="gramStart"/>
      <w:r>
        <w:rPr>
          <w:i/>
        </w:rPr>
        <w:t>Figure 4</w:t>
      </w:r>
      <w:r>
        <w:t>.</w:t>
      </w:r>
      <w:proofErr w:type="gramEnd"/>
      <w:r>
        <w:t xml:space="preserve"> </w:t>
      </w:r>
      <w:r w:rsidR="00F82D9D">
        <w:t>Example Replacement of Cases with Counterfactual Data to Invalidate Inference of an Effect of Kindergarten Retention</w:t>
      </w:r>
    </w:p>
    <w:p w:rsidR="00867430" w:rsidRDefault="00867430" w:rsidP="00867430">
      <w:pPr>
        <w:widowControl w:val="0"/>
        <w:spacing w:line="480" w:lineRule="auto"/>
      </w:pPr>
      <w:r>
        <w:rPr>
          <w:color w:val="000000"/>
        </w:rPr>
        <w:br w:type="page"/>
      </w:r>
      <w:r>
        <w:object w:dxaOrig="7209" w:dyaOrig="5395">
          <v:shape id="_x0000_i1131" type="#_x0000_t75" style="width:491.25pt;height:369.75pt" o:ole="">
            <v:imagedata r:id="rId153" o:title=""/>
          </v:shape>
          <o:OLEObject Type="Embed" ProgID="PowerPoint.Show.8" ShapeID="_x0000_i1131" DrawAspect="Content" ObjectID="_1478976248" r:id="rId154"/>
        </w:object>
      </w:r>
    </w:p>
    <w:p w:rsidR="00C80333" w:rsidRDefault="00867430">
      <w:r>
        <w:br w:type="page"/>
      </w:r>
    </w:p>
    <w:p w:rsidR="00C80333" w:rsidRDefault="00C80333" w:rsidP="00C80333">
      <w:pPr>
        <w:pStyle w:val="NormalWeb"/>
        <w:widowControl w:val="0"/>
        <w:spacing w:before="0" w:beforeAutospacing="0" w:after="0" w:afterAutospacing="0" w:line="480" w:lineRule="auto"/>
        <w:textAlignment w:val="top"/>
      </w:pPr>
      <w:proofErr w:type="gramStart"/>
      <w:r>
        <w:rPr>
          <w:i/>
        </w:rPr>
        <w:lastRenderedPageBreak/>
        <w:t>Figure 2</w:t>
      </w:r>
      <w:r>
        <w:t>.</w:t>
      </w:r>
      <w:proofErr w:type="gramEnd"/>
      <w:r>
        <w:t xml:space="preserve"> Example Replacement of Cases from </w:t>
      </w:r>
      <w:r w:rsidR="00412934">
        <w:t xml:space="preserve">Non-Volunteer Schools </w:t>
      </w:r>
      <w:r>
        <w:t>to Invalidate Inference of an Effect of the Open Court Curriculum</w:t>
      </w:r>
    </w:p>
    <w:p w:rsidR="00C80333" w:rsidRDefault="00C80333"/>
    <w:p w:rsidR="00D4565B" w:rsidRDefault="000F3E2D">
      <w:r>
        <w:rPr>
          <w:noProof/>
        </w:rPr>
        <w:drawing>
          <wp:inline distT="0" distB="0" distL="0" distR="0">
            <wp:extent cx="5487162" cy="3752850"/>
            <wp:effectExtent l="6096" t="0" r="2667" b="0"/>
            <wp:docPr id="298" name="Object 3"/>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924800" cy="5413177"/>
                      <a:chOff x="609600" y="722412"/>
                      <a:chExt cx="7924800" cy="5413177"/>
                    </a:xfrm>
                  </a:grpSpPr>
                  <a:sp>
                    <a:nvSpPr>
                      <a:cNvPr id="2" name="Title 1"/>
                      <a:cNvSpPr>
                        <a:spLocks noGrp="1"/>
                      </a:cNvSpPr>
                    </a:nvSpPr>
                    <a:spPr>
                      <a:xfrm>
                        <a:off x="685800" y="2130425"/>
                        <a:ext cx="7772400" cy="1470025"/>
                      </a:xfrm>
                      <a:prstGeom prst="rect">
                        <a:avLst/>
                      </a:prstGeom>
                    </a:spPr>
                    <a:txSp>
                      <a:txBody>
                        <a:bodyPr vert="horz" lIns="91440" tIns="45720" rIns="91440" bIns="45720" rtlCol="0" anchor="ctr">
                          <a:normAutofit/>
                        </a:bodyPr>
                        <a:lstStyle>
                          <a:lvl1pPr algn="ctr" defTabSz="914400" rtl="0" eaLnBrk="1" latinLnBrk="0" hangingPunct="1">
                            <a:spcBef>
                              <a:spcPct val="0"/>
                            </a:spcBef>
                            <a:buNone/>
                            <a:defRPr sz="4400" kern="1200">
                              <a:solidFill>
                                <a:schemeClr val="tx1"/>
                              </a:solidFill>
                              <a:latin typeface="+mj-lt"/>
                              <a:ea typeface="+mj-ea"/>
                              <a:cs typeface="+mj-cs"/>
                            </a:defRPr>
                          </a:lvl1pPr>
                        </a:lstStyle>
                        <a:p>
                          <a:endParaRPr lang="en-US"/>
                        </a:p>
                      </a:txBody>
                      <a:useSpRect/>
                    </a:txSp>
                  </a:sp>
                  <a:sp>
                    <a:nvSpPr>
                      <a:cNvPr id="3" name="Subtitle 2"/>
                      <a:cNvSpPr>
                        <a:spLocks noGrp="1"/>
                      </a:cNvSpPr>
                    </a:nvSpPr>
                    <a:spPr>
                      <a:xfrm>
                        <a:off x="1371600" y="3886200"/>
                        <a:ext cx="6400800" cy="1752600"/>
                      </a:xfrm>
                      <a:prstGeom prst="rect">
                        <a:avLst/>
                      </a:prstGeom>
                    </a:spPr>
                    <a:txSp>
                      <a:txBody>
                        <a:bodyPr vert="horz" lIns="91440" tIns="45720" rIns="91440" bIns="45720" rtlCol="0">
                          <a:normAutofit/>
                        </a:bodyPr>
                        <a:lstStyle>
                          <a:lvl1pPr marL="0" indent="0" algn="ctr" defTabSz="914400" rtl="0" eaLnBrk="1" latinLnBrk="0" hangingPunct="1">
                            <a:spcBef>
                              <a:spcPct val="20000"/>
                            </a:spcBef>
                            <a:buFont typeface="Arial" pitchFamily="34" charset="0"/>
                            <a:buNone/>
                            <a:defRPr sz="3200" kern="1200">
                              <a:solidFill>
                                <a:schemeClr val="tx1">
                                  <a:tint val="75000"/>
                                </a:schemeClr>
                              </a:solidFill>
                              <a:latin typeface="+mn-lt"/>
                              <a:ea typeface="+mn-ea"/>
                              <a:cs typeface="+mn-cs"/>
                            </a:defRPr>
                          </a:lvl1pPr>
                          <a:lvl2pPr marL="457200" indent="0" algn="ctr" defTabSz="914400" rtl="0" eaLnBrk="1" latinLnBrk="0" hangingPunct="1">
                            <a:spcBef>
                              <a:spcPct val="20000"/>
                            </a:spcBef>
                            <a:buFont typeface="Arial" pitchFamily="34" charset="0"/>
                            <a:buNone/>
                            <a:defRPr sz="2800" kern="1200">
                              <a:solidFill>
                                <a:schemeClr val="tx1">
                                  <a:tint val="75000"/>
                                </a:schemeClr>
                              </a:solidFill>
                              <a:latin typeface="+mn-lt"/>
                              <a:ea typeface="+mn-ea"/>
                              <a:cs typeface="+mn-cs"/>
                            </a:defRPr>
                          </a:lvl2pPr>
                          <a:lvl3pPr marL="914400" indent="0" algn="ctr" defTabSz="914400" rtl="0" eaLnBrk="1" latinLnBrk="0" hangingPunct="1">
                            <a:spcBef>
                              <a:spcPct val="20000"/>
                            </a:spcBef>
                            <a:buFont typeface="Arial" pitchFamily="34" charset="0"/>
                            <a:buNone/>
                            <a:defRPr sz="2400" kern="1200">
                              <a:solidFill>
                                <a:schemeClr val="tx1">
                                  <a:tint val="75000"/>
                                </a:schemeClr>
                              </a:solidFill>
                              <a:latin typeface="+mn-lt"/>
                              <a:ea typeface="+mn-ea"/>
                              <a:cs typeface="+mn-cs"/>
                            </a:defRPr>
                          </a:lvl3pPr>
                          <a:lvl4pPr marL="1371600" indent="0" algn="ctr" defTabSz="914400" rtl="0" eaLnBrk="1" latinLnBrk="0" hangingPunct="1">
                            <a:spcBef>
                              <a:spcPct val="20000"/>
                            </a:spcBef>
                            <a:buFont typeface="Arial" pitchFamily="34" charset="0"/>
                            <a:buNone/>
                            <a:defRPr sz="2000" kern="1200">
                              <a:solidFill>
                                <a:schemeClr val="tx1">
                                  <a:tint val="75000"/>
                                </a:schemeClr>
                              </a:solidFill>
                              <a:latin typeface="+mn-lt"/>
                              <a:ea typeface="+mn-ea"/>
                              <a:cs typeface="+mn-cs"/>
                            </a:defRPr>
                          </a:lvl4pPr>
                          <a:lvl5pPr marL="1828800" indent="0" algn="ctr" defTabSz="914400" rtl="0" eaLnBrk="1" latinLnBrk="0" hangingPunct="1">
                            <a:spcBef>
                              <a:spcPct val="20000"/>
                            </a:spcBef>
                            <a:buFont typeface="Arial" pitchFamily="34" charset="0"/>
                            <a:buNone/>
                            <a:defRPr sz="2000" kern="1200">
                              <a:solidFill>
                                <a:schemeClr val="tx1">
                                  <a:tint val="75000"/>
                                </a:schemeClr>
                              </a:solidFill>
                              <a:latin typeface="+mn-lt"/>
                              <a:ea typeface="+mn-ea"/>
                              <a:cs typeface="+mn-cs"/>
                            </a:defRPr>
                          </a:lvl5pPr>
                          <a:lvl6pPr marL="2286000" indent="0" algn="ctr" defTabSz="914400" rtl="0" eaLnBrk="1" latinLnBrk="0" hangingPunct="1">
                            <a:spcBef>
                              <a:spcPct val="20000"/>
                            </a:spcBef>
                            <a:buFont typeface="Arial" pitchFamily="34" charset="0"/>
                            <a:buNone/>
                            <a:defRPr sz="2000" kern="1200">
                              <a:solidFill>
                                <a:schemeClr val="tx1">
                                  <a:tint val="75000"/>
                                </a:schemeClr>
                              </a:solidFill>
                              <a:latin typeface="+mn-lt"/>
                              <a:ea typeface="+mn-ea"/>
                              <a:cs typeface="+mn-cs"/>
                            </a:defRPr>
                          </a:lvl6pPr>
                          <a:lvl7pPr marL="2743200" indent="0" algn="ctr" defTabSz="914400" rtl="0" eaLnBrk="1" latinLnBrk="0" hangingPunct="1">
                            <a:spcBef>
                              <a:spcPct val="20000"/>
                            </a:spcBef>
                            <a:buFont typeface="Arial" pitchFamily="34" charset="0"/>
                            <a:buNone/>
                            <a:defRPr sz="2000" kern="1200">
                              <a:solidFill>
                                <a:schemeClr val="tx1">
                                  <a:tint val="75000"/>
                                </a:schemeClr>
                              </a:solidFill>
                              <a:latin typeface="+mn-lt"/>
                              <a:ea typeface="+mn-ea"/>
                              <a:cs typeface="+mn-cs"/>
                            </a:defRPr>
                          </a:lvl7pPr>
                          <a:lvl8pPr marL="3200400" indent="0" algn="ctr" defTabSz="914400" rtl="0" eaLnBrk="1" latinLnBrk="0" hangingPunct="1">
                            <a:spcBef>
                              <a:spcPct val="20000"/>
                            </a:spcBef>
                            <a:buFont typeface="Arial" pitchFamily="34" charset="0"/>
                            <a:buNone/>
                            <a:defRPr sz="2000" kern="1200">
                              <a:solidFill>
                                <a:schemeClr val="tx1">
                                  <a:tint val="75000"/>
                                </a:schemeClr>
                              </a:solidFill>
                              <a:latin typeface="+mn-lt"/>
                              <a:ea typeface="+mn-ea"/>
                              <a:cs typeface="+mn-cs"/>
                            </a:defRPr>
                          </a:lvl8pPr>
                          <a:lvl9pPr marL="3657600" indent="0" algn="ctr" defTabSz="914400" rtl="0" eaLnBrk="1" latinLnBrk="0" hangingPunct="1">
                            <a:spcBef>
                              <a:spcPct val="20000"/>
                            </a:spcBef>
                            <a:buFont typeface="Arial" pitchFamily="34" charset="0"/>
                            <a:buNone/>
                            <a:defRPr sz="2000" kern="1200">
                              <a:solidFill>
                                <a:schemeClr val="tx1">
                                  <a:tint val="75000"/>
                                </a:schemeClr>
                              </a:solidFill>
                              <a:latin typeface="+mn-lt"/>
                              <a:ea typeface="+mn-ea"/>
                              <a:cs typeface="+mn-cs"/>
                            </a:defRPr>
                          </a:lvl9pPr>
                        </a:lstStyle>
                        <a:p>
                          <a:endParaRPr lang="en-US"/>
                        </a:p>
                      </a:txBody>
                      <a:useSpRect/>
                    </a:txSp>
                  </a:sp>
                  <a:pic>
                    <a:nvPicPr>
                      <a:cNvPr id="4" name="Picture 3"/>
                      <a:cNvPicPr>
                        <a:picLocks noChangeAspect="1" noChangeArrowheads="1"/>
                      </a:cNvPicPr>
                    </a:nvPicPr>
                    <a:blipFill>
                      <a:blip r:embed="rId155" cstate="print"/>
                      <a:srcRect l="31783" t="21907" r="24806" b="9866"/>
                      <a:stretch>
                        <a:fillRect/>
                      </a:stretch>
                    </a:blipFill>
                    <a:spPr bwMode="auto">
                      <a:xfrm>
                        <a:off x="609600" y="722412"/>
                        <a:ext cx="3657600" cy="3886200"/>
                      </a:xfrm>
                      <a:prstGeom prst="rect">
                        <a:avLst/>
                      </a:prstGeom>
                      <a:noFill/>
                      <a:ln w="9525">
                        <a:noFill/>
                        <a:miter lim="800000"/>
                        <a:headEnd/>
                        <a:tailEnd/>
                      </a:ln>
                    </a:spPr>
                  </a:pic>
                  <a:pic>
                    <a:nvPicPr>
                      <a:cNvPr id="5" name="Picture 4"/>
                      <a:cNvPicPr>
                        <a:picLocks noChangeAspect="1" noChangeArrowheads="1"/>
                      </a:cNvPicPr>
                    </a:nvPicPr>
                    <a:blipFill>
                      <a:blip r:embed="rId156" cstate="print"/>
                      <a:srcRect l="30108" t="21906" r="24731" b="9866"/>
                      <a:stretch>
                        <a:fillRect/>
                      </a:stretch>
                    </a:blipFill>
                    <a:spPr bwMode="auto">
                      <a:xfrm>
                        <a:off x="4800600" y="722412"/>
                        <a:ext cx="3733800" cy="3886200"/>
                      </a:xfrm>
                      <a:prstGeom prst="rect">
                        <a:avLst/>
                      </a:prstGeom>
                      <a:noFill/>
                      <a:ln w="9525">
                        <a:noFill/>
                        <a:miter lim="800000"/>
                        <a:headEnd/>
                        <a:tailEnd/>
                      </a:ln>
                    </a:spPr>
                  </a:pic>
                  <a:cxnSp>
                    <a:nvCxnSpPr>
                      <a:cNvPr id="6" name="Straight Connector 5"/>
                      <a:cNvCxnSpPr/>
                    </a:nvCxnSpPr>
                    <a:spPr>
                      <a:xfrm flipH="1">
                        <a:off x="914400" y="2322612"/>
                        <a:ext cx="381000" cy="0"/>
                      </a:xfrm>
                      <a:prstGeom prst="line">
                        <a:avLst/>
                      </a:prstGeom>
                      <a:ln w="41275">
                        <a:solidFill>
                          <a:schemeClr val="tx1">
                            <a:alpha val="61000"/>
                          </a:schemeClr>
                        </a:solidFill>
                        <a:prstDash val="sysDash"/>
                      </a:ln>
                    </a:spPr>
                    <a:style>
                      <a:lnRef idx="1">
                        <a:schemeClr val="accent1"/>
                      </a:lnRef>
                      <a:fillRef idx="0">
                        <a:schemeClr val="accent1"/>
                      </a:fillRef>
                      <a:effectRef idx="0">
                        <a:schemeClr val="accent1"/>
                      </a:effectRef>
                      <a:fontRef idx="minor">
                        <a:schemeClr val="tx1"/>
                      </a:fontRef>
                    </a:style>
                  </a:cxnSp>
                  <a:cxnSp>
                    <a:nvCxnSpPr>
                      <a:cNvPr id="7" name="Straight Connector 6"/>
                      <a:cNvCxnSpPr/>
                    </a:nvCxnSpPr>
                    <a:spPr>
                      <a:xfrm flipV="1">
                        <a:off x="1295400" y="1179612"/>
                        <a:ext cx="0" cy="1143000"/>
                      </a:xfrm>
                      <a:prstGeom prst="line">
                        <a:avLst/>
                      </a:prstGeom>
                      <a:ln w="41275">
                        <a:solidFill>
                          <a:schemeClr val="tx1">
                            <a:alpha val="61000"/>
                          </a:schemeClr>
                        </a:solidFill>
                        <a:prstDash val="sysDash"/>
                      </a:ln>
                    </a:spPr>
                    <a:style>
                      <a:lnRef idx="1">
                        <a:schemeClr val="accent1"/>
                      </a:lnRef>
                      <a:fillRef idx="0">
                        <a:schemeClr val="accent1"/>
                      </a:fillRef>
                      <a:effectRef idx="0">
                        <a:schemeClr val="accent1"/>
                      </a:effectRef>
                      <a:fontRef idx="minor">
                        <a:schemeClr val="tx1"/>
                      </a:fontRef>
                    </a:style>
                  </a:cxnSp>
                  <a:cxnSp>
                    <a:nvCxnSpPr>
                      <a:cNvPr id="8" name="Straight Connector 7"/>
                      <a:cNvCxnSpPr/>
                    </a:nvCxnSpPr>
                    <a:spPr>
                      <a:xfrm flipH="1">
                        <a:off x="1295400" y="1179612"/>
                        <a:ext cx="457200" cy="0"/>
                      </a:xfrm>
                      <a:prstGeom prst="line">
                        <a:avLst/>
                      </a:prstGeom>
                      <a:ln w="41275">
                        <a:solidFill>
                          <a:schemeClr val="tx1">
                            <a:alpha val="61000"/>
                          </a:schemeClr>
                        </a:solidFill>
                        <a:prstDash val="sysDash"/>
                      </a:ln>
                    </a:spPr>
                    <a:style>
                      <a:lnRef idx="1">
                        <a:schemeClr val="accent1"/>
                      </a:lnRef>
                      <a:fillRef idx="0">
                        <a:schemeClr val="accent1"/>
                      </a:fillRef>
                      <a:effectRef idx="0">
                        <a:schemeClr val="accent1"/>
                      </a:effectRef>
                      <a:fontRef idx="minor">
                        <a:schemeClr val="tx1"/>
                      </a:fontRef>
                    </a:style>
                  </a:cxnSp>
                  <a:cxnSp>
                    <a:nvCxnSpPr>
                      <a:cNvPr id="9" name="Straight Connector 8"/>
                      <a:cNvCxnSpPr/>
                    </a:nvCxnSpPr>
                    <a:spPr>
                      <a:xfrm flipV="1">
                        <a:off x="1752600" y="1179612"/>
                        <a:ext cx="0" cy="1143000"/>
                      </a:xfrm>
                      <a:prstGeom prst="line">
                        <a:avLst/>
                      </a:prstGeom>
                      <a:ln w="41275">
                        <a:solidFill>
                          <a:schemeClr val="tx1">
                            <a:alpha val="61000"/>
                          </a:schemeClr>
                        </a:solidFill>
                        <a:prstDash val="sysDash"/>
                      </a:ln>
                    </a:spPr>
                    <a:style>
                      <a:lnRef idx="1">
                        <a:schemeClr val="accent1"/>
                      </a:lnRef>
                      <a:fillRef idx="0">
                        <a:schemeClr val="accent1"/>
                      </a:fillRef>
                      <a:effectRef idx="0">
                        <a:schemeClr val="accent1"/>
                      </a:effectRef>
                      <a:fontRef idx="minor">
                        <a:schemeClr val="tx1"/>
                      </a:fontRef>
                    </a:style>
                  </a:cxnSp>
                  <a:cxnSp>
                    <a:nvCxnSpPr>
                      <a:cNvPr id="10" name="Straight Connector 9"/>
                      <a:cNvCxnSpPr/>
                    </a:nvCxnSpPr>
                    <a:spPr>
                      <a:xfrm flipH="1">
                        <a:off x="1752600" y="2322612"/>
                        <a:ext cx="381000" cy="0"/>
                      </a:xfrm>
                      <a:prstGeom prst="line">
                        <a:avLst/>
                      </a:prstGeom>
                      <a:ln w="41275">
                        <a:solidFill>
                          <a:schemeClr val="tx1">
                            <a:alpha val="61000"/>
                          </a:schemeClr>
                        </a:solidFill>
                        <a:prstDash val="sysDash"/>
                      </a:ln>
                    </a:spPr>
                    <a:style>
                      <a:lnRef idx="1">
                        <a:schemeClr val="accent1"/>
                      </a:lnRef>
                      <a:fillRef idx="0">
                        <a:schemeClr val="accent1"/>
                      </a:fillRef>
                      <a:effectRef idx="0">
                        <a:schemeClr val="accent1"/>
                      </a:effectRef>
                      <a:fontRef idx="minor">
                        <a:schemeClr val="tx1"/>
                      </a:fontRef>
                    </a:style>
                  </a:cxnSp>
                  <a:cxnSp>
                    <a:nvCxnSpPr>
                      <a:cNvPr id="11" name="Straight Connector 10"/>
                      <a:cNvCxnSpPr/>
                    </a:nvCxnSpPr>
                    <a:spPr>
                      <a:xfrm flipV="1">
                        <a:off x="2133600" y="2322612"/>
                        <a:ext cx="0" cy="762000"/>
                      </a:xfrm>
                      <a:prstGeom prst="line">
                        <a:avLst/>
                      </a:prstGeom>
                      <a:ln w="41275">
                        <a:solidFill>
                          <a:schemeClr val="tx1">
                            <a:alpha val="61000"/>
                          </a:schemeClr>
                        </a:solidFill>
                        <a:prstDash val="sysDash"/>
                      </a:ln>
                    </a:spPr>
                    <a:style>
                      <a:lnRef idx="1">
                        <a:schemeClr val="accent1"/>
                      </a:lnRef>
                      <a:fillRef idx="0">
                        <a:schemeClr val="accent1"/>
                      </a:fillRef>
                      <a:effectRef idx="0">
                        <a:schemeClr val="accent1"/>
                      </a:effectRef>
                      <a:fontRef idx="minor">
                        <a:schemeClr val="tx1"/>
                      </a:fontRef>
                    </a:style>
                  </a:cxnSp>
                  <a:cxnSp>
                    <a:nvCxnSpPr>
                      <a:cNvPr id="12" name="Straight Connector 11"/>
                      <a:cNvCxnSpPr/>
                    </a:nvCxnSpPr>
                    <a:spPr>
                      <a:xfrm flipH="1">
                        <a:off x="2133600" y="3084612"/>
                        <a:ext cx="457200" cy="0"/>
                      </a:xfrm>
                      <a:prstGeom prst="line">
                        <a:avLst/>
                      </a:prstGeom>
                      <a:ln w="41275">
                        <a:solidFill>
                          <a:schemeClr val="tx1">
                            <a:alpha val="61000"/>
                          </a:schemeClr>
                        </a:solidFill>
                        <a:prstDash val="sysDash"/>
                      </a:ln>
                    </a:spPr>
                    <a:style>
                      <a:lnRef idx="1">
                        <a:schemeClr val="accent1"/>
                      </a:lnRef>
                      <a:fillRef idx="0">
                        <a:schemeClr val="accent1"/>
                      </a:fillRef>
                      <a:effectRef idx="0">
                        <a:schemeClr val="accent1"/>
                      </a:effectRef>
                      <a:fontRef idx="minor">
                        <a:schemeClr val="tx1"/>
                      </a:fontRef>
                    </a:style>
                  </a:cxnSp>
                  <a:cxnSp>
                    <a:nvCxnSpPr>
                      <a:cNvPr id="13" name="Straight Connector 12"/>
                      <a:cNvCxnSpPr/>
                    </a:nvCxnSpPr>
                    <a:spPr>
                      <a:xfrm flipV="1">
                        <a:off x="2590800" y="3084612"/>
                        <a:ext cx="0" cy="762000"/>
                      </a:xfrm>
                      <a:prstGeom prst="line">
                        <a:avLst/>
                      </a:prstGeom>
                      <a:ln w="41275">
                        <a:solidFill>
                          <a:schemeClr val="tx1">
                            <a:alpha val="61000"/>
                          </a:schemeClr>
                        </a:solidFill>
                        <a:prstDash val="sysDash"/>
                      </a:ln>
                    </a:spPr>
                    <a:style>
                      <a:lnRef idx="1">
                        <a:schemeClr val="accent1"/>
                      </a:lnRef>
                      <a:fillRef idx="0">
                        <a:schemeClr val="accent1"/>
                      </a:fillRef>
                      <a:effectRef idx="0">
                        <a:schemeClr val="accent1"/>
                      </a:effectRef>
                      <a:fontRef idx="minor">
                        <a:schemeClr val="tx1"/>
                      </a:fontRef>
                    </a:style>
                  </a:cxnSp>
                  <a:cxnSp>
                    <a:nvCxnSpPr>
                      <a:cNvPr id="14" name="Straight Connector 13"/>
                      <a:cNvCxnSpPr/>
                    </a:nvCxnSpPr>
                    <a:spPr>
                      <a:xfrm flipH="1">
                        <a:off x="2590800" y="3846612"/>
                        <a:ext cx="457200" cy="0"/>
                      </a:xfrm>
                      <a:prstGeom prst="line">
                        <a:avLst/>
                      </a:prstGeom>
                      <a:ln w="41275">
                        <a:solidFill>
                          <a:schemeClr val="tx1">
                            <a:alpha val="61000"/>
                          </a:schemeClr>
                        </a:solidFill>
                        <a:prstDash val="sysDash"/>
                      </a:ln>
                    </a:spPr>
                    <a:style>
                      <a:lnRef idx="1">
                        <a:schemeClr val="accent1"/>
                      </a:lnRef>
                      <a:fillRef idx="0">
                        <a:schemeClr val="accent1"/>
                      </a:fillRef>
                      <a:effectRef idx="0">
                        <a:schemeClr val="accent1"/>
                      </a:effectRef>
                      <a:fontRef idx="minor">
                        <a:schemeClr val="tx1"/>
                      </a:fontRef>
                    </a:style>
                  </a:cxnSp>
                  <a:cxnSp>
                    <a:nvCxnSpPr>
                      <a:cNvPr id="15" name="Straight Connector 14"/>
                      <a:cNvCxnSpPr/>
                    </a:nvCxnSpPr>
                    <a:spPr>
                      <a:xfrm flipV="1">
                        <a:off x="3048000" y="3846612"/>
                        <a:ext cx="0" cy="457200"/>
                      </a:xfrm>
                      <a:prstGeom prst="line">
                        <a:avLst/>
                      </a:prstGeom>
                      <a:ln w="41275">
                        <a:solidFill>
                          <a:schemeClr val="tx1">
                            <a:alpha val="61000"/>
                          </a:schemeClr>
                        </a:solidFill>
                        <a:prstDash val="sysDash"/>
                      </a:ln>
                    </a:spPr>
                    <a:style>
                      <a:lnRef idx="1">
                        <a:schemeClr val="accent1"/>
                      </a:lnRef>
                      <a:fillRef idx="0">
                        <a:schemeClr val="accent1"/>
                      </a:fillRef>
                      <a:effectRef idx="0">
                        <a:schemeClr val="accent1"/>
                      </a:effectRef>
                      <a:fontRef idx="minor">
                        <a:schemeClr val="tx1"/>
                      </a:fontRef>
                    </a:style>
                  </a:cxnSp>
                  <a:cxnSp>
                    <a:nvCxnSpPr>
                      <a:cNvPr id="16" name="Straight Connector 15"/>
                      <a:cNvCxnSpPr/>
                    </a:nvCxnSpPr>
                    <a:spPr>
                      <a:xfrm flipV="1">
                        <a:off x="5257800" y="3770412"/>
                        <a:ext cx="0" cy="457200"/>
                      </a:xfrm>
                      <a:prstGeom prst="line">
                        <a:avLst/>
                      </a:prstGeom>
                      <a:ln w="41275">
                        <a:solidFill>
                          <a:schemeClr val="tx1">
                            <a:alpha val="61000"/>
                          </a:schemeClr>
                        </a:solidFill>
                        <a:prstDash val="sysDash"/>
                      </a:ln>
                    </a:spPr>
                    <a:style>
                      <a:lnRef idx="1">
                        <a:schemeClr val="accent1"/>
                      </a:lnRef>
                      <a:fillRef idx="0">
                        <a:schemeClr val="accent1"/>
                      </a:fillRef>
                      <a:effectRef idx="0">
                        <a:schemeClr val="accent1"/>
                      </a:effectRef>
                      <a:fontRef idx="minor">
                        <a:schemeClr val="tx1"/>
                      </a:fontRef>
                    </a:style>
                  </a:cxnSp>
                  <a:cxnSp>
                    <a:nvCxnSpPr>
                      <a:cNvPr id="17" name="Straight Connector 16"/>
                      <a:cNvCxnSpPr/>
                    </a:nvCxnSpPr>
                    <a:spPr>
                      <a:xfrm flipH="1">
                        <a:off x="5257800" y="3770412"/>
                        <a:ext cx="381000" cy="0"/>
                      </a:xfrm>
                      <a:prstGeom prst="line">
                        <a:avLst/>
                      </a:prstGeom>
                      <a:ln w="41275">
                        <a:solidFill>
                          <a:schemeClr val="tx1">
                            <a:alpha val="61000"/>
                          </a:schemeClr>
                        </a:solidFill>
                        <a:prstDash val="sysDash"/>
                      </a:ln>
                    </a:spPr>
                    <a:style>
                      <a:lnRef idx="1">
                        <a:schemeClr val="accent1"/>
                      </a:lnRef>
                      <a:fillRef idx="0">
                        <a:schemeClr val="accent1"/>
                      </a:fillRef>
                      <a:effectRef idx="0">
                        <a:schemeClr val="accent1"/>
                      </a:effectRef>
                      <a:fontRef idx="minor">
                        <a:schemeClr val="tx1"/>
                      </a:fontRef>
                    </a:style>
                  </a:cxnSp>
                  <a:cxnSp>
                    <a:nvCxnSpPr>
                      <a:cNvPr id="18" name="Straight Connector 17"/>
                      <a:cNvCxnSpPr/>
                    </a:nvCxnSpPr>
                    <a:spPr>
                      <a:xfrm flipV="1">
                        <a:off x="5638800" y="3313212"/>
                        <a:ext cx="0" cy="457200"/>
                      </a:xfrm>
                      <a:prstGeom prst="line">
                        <a:avLst/>
                      </a:prstGeom>
                      <a:ln w="41275">
                        <a:solidFill>
                          <a:schemeClr val="tx1">
                            <a:alpha val="61000"/>
                          </a:schemeClr>
                        </a:solidFill>
                        <a:prstDash val="sysDash"/>
                      </a:ln>
                    </a:spPr>
                    <a:style>
                      <a:lnRef idx="1">
                        <a:schemeClr val="accent1"/>
                      </a:lnRef>
                      <a:fillRef idx="0">
                        <a:schemeClr val="accent1"/>
                      </a:fillRef>
                      <a:effectRef idx="0">
                        <a:schemeClr val="accent1"/>
                      </a:effectRef>
                      <a:fontRef idx="minor">
                        <a:schemeClr val="tx1"/>
                      </a:fontRef>
                    </a:style>
                  </a:cxnSp>
                  <a:cxnSp>
                    <a:nvCxnSpPr>
                      <a:cNvPr id="19" name="Straight Connector 18"/>
                      <a:cNvCxnSpPr/>
                    </a:nvCxnSpPr>
                    <a:spPr>
                      <a:xfrm flipH="1">
                        <a:off x="5638800" y="3313212"/>
                        <a:ext cx="381000" cy="0"/>
                      </a:xfrm>
                      <a:prstGeom prst="line">
                        <a:avLst/>
                      </a:prstGeom>
                      <a:ln w="41275">
                        <a:solidFill>
                          <a:schemeClr val="tx1">
                            <a:alpha val="61000"/>
                          </a:schemeClr>
                        </a:solidFill>
                        <a:prstDash val="sysDash"/>
                      </a:ln>
                    </a:spPr>
                    <a:style>
                      <a:lnRef idx="1">
                        <a:schemeClr val="accent1"/>
                      </a:lnRef>
                      <a:fillRef idx="0">
                        <a:schemeClr val="accent1"/>
                      </a:fillRef>
                      <a:effectRef idx="0">
                        <a:schemeClr val="accent1"/>
                      </a:effectRef>
                      <a:fontRef idx="minor">
                        <a:schemeClr val="tx1"/>
                      </a:fontRef>
                    </a:style>
                  </a:cxnSp>
                  <a:cxnSp>
                    <a:nvCxnSpPr>
                      <a:cNvPr id="20" name="Straight Connector 19"/>
                      <a:cNvCxnSpPr/>
                    </a:nvCxnSpPr>
                    <a:spPr>
                      <a:xfrm flipV="1">
                        <a:off x="6019800" y="1941612"/>
                        <a:ext cx="0" cy="1371600"/>
                      </a:xfrm>
                      <a:prstGeom prst="line">
                        <a:avLst/>
                      </a:prstGeom>
                      <a:ln w="41275">
                        <a:solidFill>
                          <a:schemeClr val="tx1">
                            <a:alpha val="61000"/>
                          </a:schemeClr>
                        </a:solidFill>
                        <a:prstDash val="sysDash"/>
                      </a:ln>
                    </a:spPr>
                    <a:style>
                      <a:lnRef idx="1">
                        <a:schemeClr val="accent1"/>
                      </a:lnRef>
                      <a:fillRef idx="0">
                        <a:schemeClr val="accent1"/>
                      </a:fillRef>
                      <a:effectRef idx="0">
                        <a:schemeClr val="accent1"/>
                      </a:effectRef>
                      <a:fontRef idx="minor">
                        <a:schemeClr val="tx1"/>
                      </a:fontRef>
                    </a:style>
                  </a:cxnSp>
                  <a:cxnSp>
                    <a:nvCxnSpPr>
                      <a:cNvPr id="21" name="Straight Connector 20"/>
                      <a:cNvCxnSpPr/>
                    </a:nvCxnSpPr>
                    <a:spPr>
                      <a:xfrm flipH="1">
                        <a:off x="6019800" y="1941612"/>
                        <a:ext cx="457200" cy="0"/>
                      </a:xfrm>
                      <a:prstGeom prst="line">
                        <a:avLst/>
                      </a:prstGeom>
                      <a:ln w="41275">
                        <a:solidFill>
                          <a:schemeClr val="tx1">
                            <a:alpha val="61000"/>
                          </a:schemeClr>
                        </a:solidFill>
                        <a:prstDash val="sysDash"/>
                      </a:ln>
                    </a:spPr>
                    <a:style>
                      <a:lnRef idx="1">
                        <a:schemeClr val="accent1"/>
                      </a:lnRef>
                      <a:fillRef idx="0">
                        <a:schemeClr val="accent1"/>
                      </a:fillRef>
                      <a:effectRef idx="0">
                        <a:schemeClr val="accent1"/>
                      </a:effectRef>
                      <a:fontRef idx="minor">
                        <a:schemeClr val="tx1"/>
                      </a:fontRef>
                    </a:style>
                  </a:cxnSp>
                  <a:cxnSp>
                    <a:nvCxnSpPr>
                      <a:cNvPr id="22" name="Straight Connector 21"/>
                      <a:cNvCxnSpPr/>
                    </a:nvCxnSpPr>
                    <a:spPr>
                      <a:xfrm flipV="1">
                        <a:off x="6477000" y="798612"/>
                        <a:ext cx="0" cy="1143000"/>
                      </a:xfrm>
                      <a:prstGeom prst="line">
                        <a:avLst/>
                      </a:prstGeom>
                      <a:ln w="41275">
                        <a:solidFill>
                          <a:schemeClr val="tx1">
                            <a:alpha val="61000"/>
                          </a:schemeClr>
                        </a:solidFill>
                        <a:prstDash val="sysDash"/>
                      </a:ln>
                    </a:spPr>
                    <a:style>
                      <a:lnRef idx="1">
                        <a:schemeClr val="accent1"/>
                      </a:lnRef>
                      <a:fillRef idx="0">
                        <a:schemeClr val="accent1"/>
                      </a:fillRef>
                      <a:effectRef idx="0">
                        <a:schemeClr val="accent1"/>
                      </a:effectRef>
                      <a:fontRef idx="minor">
                        <a:schemeClr val="tx1"/>
                      </a:fontRef>
                    </a:style>
                  </a:cxnSp>
                  <a:cxnSp>
                    <a:nvCxnSpPr>
                      <a:cNvPr id="23" name="Straight Connector 22"/>
                      <a:cNvCxnSpPr/>
                    </a:nvCxnSpPr>
                    <a:spPr>
                      <a:xfrm flipH="1">
                        <a:off x="6477000" y="798612"/>
                        <a:ext cx="457200" cy="0"/>
                      </a:xfrm>
                      <a:prstGeom prst="line">
                        <a:avLst/>
                      </a:prstGeom>
                      <a:ln w="41275">
                        <a:solidFill>
                          <a:schemeClr val="tx1">
                            <a:alpha val="61000"/>
                          </a:schemeClr>
                        </a:solidFill>
                        <a:prstDash val="sysDash"/>
                      </a:ln>
                    </a:spPr>
                    <a:style>
                      <a:lnRef idx="1">
                        <a:schemeClr val="accent1"/>
                      </a:lnRef>
                      <a:fillRef idx="0">
                        <a:schemeClr val="accent1"/>
                      </a:fillRef>
                      <a:effectRef idx="0">
                        <a:schemeClr val="accent1"/>
                      </a:effectRef>
                      <a:fontRef idx="minor">
                        <a:schemeClr val="tx1"/>
                      </a:fontRef>
                    </a:style>
                  </a:cxnSp>
                  <a:cxnSp>
                    <a:nvCxnSpPr>
                      <a:cNvPr id="24" name="Straight Connector 23"/>
                      <a:cNvCxnSpPr/>
                    </a:nvCxnSpPr>
                    <a:spPr>
                      <a:xfrm flipV="1">
                        <a:off x="6934200" y="798612"/>
                        <a:ext cx="0" cy="762000"/>
                      </a:xfrm>
                      <a:prstGeom prst="line">
                        <a:avLst/>
                      </a:prstGeom>
                      <a:ln w="41275">
                        <a:solidFill>
                          <a:schemeClr val="tx1">
                            <a:alpha val="61000"/>
                          </a:schemeClr>
                        </a:solidFill>
                        <a:prstDash val="sysDash"/>
                      </a:ln>
                    </a:spPr>
                    <a:style>
                      <a:lnRef idx="1">
                        <a:schemeClr val="accent1"/>
                      </a:lnRef>
                      <a:fillRef idx="0">
                        <a:schemeClr val="accent1"/>
                      </a:fillRef>
                      <a:effectRef idx="0">
                        <a:schemeClr val="accent1"/>
                      </a:effectRef>
                      <a:fontRef idx="minor">
                        <a:schemeClr val="tx1"/>
                      </a:fontRef>
                    </a:style>
                  </a:cxnSp>
                  <a:cxnSp>
                    <a:nvCxnSpPr>
                      <a:cNvPr id="25" name="Straight Connector 24"/>
                      <a:cNvCxnSpPr/>
                    </a:nvCxnSpPr>
                    <a:spPr>
                      <a:xfrm flipV="1">
                        <a:off x="7315200" y="1560612"/>
                        <a:ext cx="0" cy="1905000"/>
                      </a:xfrm>
                      <a:prstGeom prst="line">
                        <a:avLst/>
                      </a:prstGeom>
                      <a:ln w="41275">
                        <a:solidFill>
                          <a:schemeClr val="tx1">
                            <a:alpha val="61000"/>
                          </a:schemeClr>
                        </a:solidFill>
                        <a:prstDash val="sysDash"/>
                      </a:ln>
                    </a:spPr>
                    <a:style>
                      <a:lnRef idx="1">
                        <a:schemeClr val="accent1"/>
                      </a:lnRef>
                      <a:fillRef idx="0">
                        <a:schemeClr val="accent1"/>
                      </a:fillRef>
                      <a:effectRef idx="0">
                        <a:schemeClr val="accent1"/>
                      </a:effectRef>
                      <a:fontRef idx="minor">
                        <a:schemeClr val="tx1"/>
                      </a:fontRef>
                    </a:style>
                  </a:cxnSp>
                  <a:cxnSp>
                    <a:nvCxnSpPr>
                      <a:cNvPr id="26" name="Straight Connector 25"/>
                      <a:cNvCxnSpPr/>
                    </a:nvCxnSpPr>
                    <a:spPr>
                      <a:xfrm flipH="1">
                        <a:off x="6934200" y="1560612"/>
                        <a:ext cx="381000" cy="0"/>
                      </a:xfrm>
                      <a:prstGeom prst="line">
                        <a:avLst/>
                      </a:prstGeom>
                      <a:ln w="41275">
                        <a:solidFill>
                          <a:schemeClr val="tx1">
                            <a:alpha val="61000"/>
                          </a:schemeClr>
                        </a:solidFill>
                        <a:prstDash val="sysDash"/>
                      </a:ln>
                    </a:spPr>
                    <a:style>
                      <a:lnRef idx="1">
                        <a:schemeClr val="accent1"/>
                      </a:lnRef>
                      <a:fillRef idx="0">
                        <a:schemeClr val="accent1"/>
                      </a:fillRef>
                      <a:effectRef idx="0">
                        <a:schemeClr val="accent1"/>
                      </a:effectRef>
                      <a:fontRef idx="minor">
                        <a:schemeClr val="tx1"/>
                      </a:fontRef>
                    </a:style>
                  </a:cxnSp>
                  <a:cxnSp>
                    <a:nvCxnSpPr>
                      <a:cNvPr id="27" name="Straight Connector 26"/>
                      <a:cNvCxnSpPr/>
                    </a:nvCxnSpPr>
                    <a:spPr>
                      <a:xfrm flipH="1">
                        <a:off x="7315200" y="3465612"/>
                        <a:ext cx="381000" cy="0"/>
                      </a:xfrm>
                      <a:prstGeom prst="line">
                        <a:avLst/>
                      </a:prstGeom>
                      <a:ln w="41275">
                        <a:solidFill>
                          <a:schemeClr val="tx1">
                            <a:alpha val="61000"/>
                          </a:schemeClr>
                        </a:solidFill>
                        <a:prstDash val="sysDash"/>
                      </a:ln>
                    </a:spPr>
                    <a:style>
                      <a:lnRef idx="1">
                        <a:schemeClr val="accent1"/>
                      </a:lnRef>
                      <a:fillRef idx="0">
                        <a:schemeClr val="accent1"/>
                      </a:fillRef>
                      <a:effectRef idx="0">
                        <a:schemeClr val="accent1"/>
                      </a:effectRef>
                      <a:fontRef idx="minor">
                        <a:schemeClr val="tx1"/>
                      </a:fontRef>
                    </a:style>
                  </a:cxnSp>
                  <a:cxnSp>
                    <a:nvCxnSpPr>
                      <a:cNvPr id="28" name="Straight Connector 27"/>
                      <a:cNvCxnSpPr/>
                    </a:nvCxnSpPr>
                    <a:spPr>
                      <a:xfrm flipV="1">
                        <a:off x="7696200" y="3465612"/>
                        <a:ext cx="0" cy="762000"/>
                      </a:xfrm>
                      <a:prstGeom prst="line">
                        <a:avLst/>
                      </a:prstGeom>
                      <a:ln w="41275">
                        <a:solidFill>
                          <a:schemeClr val="tx1">
                            <a:alpha val="61000"/>
                          </a:schemeClr>
                        </a:solidFill>
                        <a:prstDash val="sysDash"/>
                      </a:ln>
                    </a:spPr>
                    <a:style>
                      <a:lnRef idx="1">
                        <a:schemeClr val="accent1"/>
                      </a:lnRef>
                      <a:fillRef idx="0">
                        <a:schemeClr val="accent1"/>
                      </a:fillRef>
                      <a:effectRef idx="0">
                        <a:schemeClr val="accent1"/>
                      </a:effectRef>
                      <a:fontRef idx="minor">
                        <a:schemeClr val="tx1"/>
                      </a:fontRef>
                    </a:style>
                  </a:cxnSp>
                  <a:sp>
                    <a:nvSpPr>
                      <a:cNvPr id="29" name="TextBox 51"/>
                      <a:cNvSpPr txBox="1"/>
                    </a:nvSpPr>
                    <a:spPr>
                      <a:xfrm>
                        <a:off x="6172200" y="4605635"/>
                        <a:ext cx="1273105"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Open Court</a:t>
                          </a:r>
                          <a:endParaRPr lang="en-US" dirty="0"/>
                        </a:p>
                      </a:txBody>
                      <a:useSpRect/>
                    </a:txSp>
                  </a:sp>
                  <a:sp>
                    <a:nvSpPr>
                      <a:cNvPr id="30" name="TextBox 52"/>
                      <a:cNvSpPr txBox="1"/>
                    </a:nvSpPr>
                    <a:spPr>
                      <a:xfrm>
                        <a:off x="1676400" y="4608612"/>
                        <a:ext cx="1819729"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Business as Usual</a:t>
                          </a:r>
                          <a:endParaRPr lang="en-US" dirty="0"/>
                        </a:p>
                      </a:txBody>
                      <a:useSpRect/>
                    </a:txSp>
                  </a:sp>
                  <a:pic>
                    <a:nvPicPr>
                      <a:cNvPr id="31" name="Picture 30"/>
                      <a:cNvPicPr>
                        <a:picLocks noChangeAspect="1" noChangeArrowheads="1"/>
                      </a:cNvPicPr>
                    </a:nvPicPr>
                    <a:blipFill>
                      <a:blip r:embed="rId157" cstate="print"/>
                      <a:srcRect l="53330" t="94720" r="40158"/>
                      <a:stretch>
                        <a:fillRect/>
                      </a:stretch>
                    </a:blipFill>
                    <a:spPr bwMode="auto">
                      <a:xfrm>
                        <a:off x="2671946" y="5599212"/>
                        <a:ext cx="381000" cy="304800"/>
                      </a:xfrm>
                      <a:prstGeom prst="rect">
                        <a:avLst/>
                      </a:prstGeom>
                      <a:noFill/>
                      <a:ln w="9525">
                        <a:noFill/>
                        <a:miter lim="800000"/>
                        <a:headEnd/>
                        <a:tailEnd/>
                      </a:ln>
                    </a:spPr>
                  </a:pic>
                  <a:pic>
                    <a:nvPicPr>
                      <a:cNvPr id="32" name="Picture 31"/>
                      <a:cNvPicPr>
                        <a:picLocks noChangeAspect="1" noChangeArrowheads="1"/>
                      </a:cNvPicPr>
                    </a:nvPicPr>
                    <a:blipFill>
                      <a:blip r:embed="rId157" cstate="print"/>
                      <a:srcRect l="42910" t="96480" r="49275"/>
                      <a:stretch>
                        <a:fillRect/>
                      </a:stretch>
                    </a:blipFill>
                    <a:spPr bwMode="auto">
                      <a:xfrm>
                        <a:off x="2671946" y="5446812"/>
                        <a:ext cx="457200" cy="228600"/>
                      </a:xfrm>
                      <a:prstGeom prst="rect">
                        <a:avLst/>
                      </a:prstGeom>
                      <a:noFill/>
                      <a:ln w="9525">
                        <a:noFill/>
                        <a:miter lim="800000"/>
                        <a:headEnd/>
                        <a:tailEnd/>
                      </a:ln>
                    </a:spPr>
                  </a:pic>
                  <a:sp>
                    <a:nvSpPr>
                      <a:cNvPr id="33" name="TextBox 55"/>
                      <a:cNvSpPr txBox="1"/>
                    </a:nvSpPr>
                    <a:spPr>
                      <a:xfrm>
                        <a:off x="3281546" y="5370612"/>
                        <a:ext cx="3643626"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t>Original </a:t>
                          </a:r>
                          <a:r>
                            <a:rPr lang="en-US" sz="1400" dirty="0" smtClean="0"/>
                            <a:t>volunteer cases </a:t>
                          </a:r>
                          <a:r>
                            <a:rPr lang="en-US" sz="1400" dirty="0" smtClean="0"/>
                            <a:t>that were not replaced</a:t>
                          </a:r>
                          <a:endParaRPr lang="en-US" sz="1400" dirty="0"/>
                        </a:p>
                      </a:txBody>
                      <a:useSpRect/>
                    </a:txSp>
                  </a:sp>
                  <a:sp>
                    <a:nvSpPr>
                      <a:cNvPr id="34" name="Rectangle 33"/>
                      <a:cNvSpPr/>
                    </a:nvSpPr>
                    <a:spPr>
                      <a:xfrm flipV="1">
                        <a:off x="2748146" y="5937472"/>
                        <a:ext cx="304800" cy="121917"/>
                      </a:xfrm>
                      <a:prstGeom prst="rect">
                        <a:avLst/>
                      </a:prstGeom>
                      <a:noFill/>
                      <a:ln>
                        <a:solidFill>
                          <a:schemeClr val="tx1"/>
                        </a:solidFill>
                        <a:prstDash val="sysDash"/>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5" name="TextBox 63"/>
                      <a:cNvSpPr txBox="1"/>
                    </a:nvSpPr>
                    <a:spPr>
                      <a:xfrm>
                        <a:off x="3276600" y="5599212"/>
                        <a:ext cx="3631122"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t>Replacement cases </a:t>
                          </a:r>
                          <a:r>
                            <a:rPr lang="en-US" sz="1400" dirty="0" smtClean="0"/>
                            <a:t>from non-volunteer schools</a:t>
                          </a:r>
                          <a:endParaRPr lang="en-US" sz="1400" dirty="0"/>
                        </a:p>
                      </a:txBody>
                      <a:useSpRect/>
                    </a:txSp>
                  </a:sp>
                  <a:sp>
                    <a:nvSpPr>
                      <a:cNvPr id="36" name="TextBox 66"/>
                      <a:cNvSpPr txBox="1"/>
                    </a:nvSpPr>
                    <a:spPr>
                      <a:xfrm>
                        <a:off x="3276600" y="5827812"/>
                        <a:ext cx="3281989"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t>Original </a:t>
                          </a:r>
                          <a:r>
                            <a:rPr lang="en-US" sz="1400" dirty="0" smtClean="0"/>
                            <a:t>distribution for all volunteer cases</a:t>
                          </a:r>
                          <a:endParaRPr lang="en-US" sz="1400" dirty="0"/>
                        </a:p>
                      </a:txBody>
                      <a:useSpRect/>
                    </a:txSp>
                  </a:sp>
                </lc:lockedCanvas>
              </a:graphicData>
            </a:graphic>
          </wp:inline>
        </w:drawing>
      </w:r>
      <w:r w:rsidR="00D4565B">
        <w:br w:type="page"/>
      </w:r>
    </w:p>
    <w:p w:rsidR="00867430" w:rsidRDefault="00C80333" w:rsidP="00867430">
      <w:pPr>
        <w:widowControl w:val="0"/>
        <w:spacing w:line="480" w:lineRule="auto"/>
      </w:pPr>
      <w:proofErr w:type="gramStart"/>
      <w:r w:rsidRPr="006C010A">
        <w:rPr>
          <w:i/>
        </w:rPr>
        <w:lastRenderedPageBreak/>
        <w:t>Figure 3</w:t>
      </w:r>
      <w:r w:rsidR="00867430">
        <w:t>.</w:t>
      </w:r>
      <w:proofErr w:type="gramEnd"/>
      <w:r w:rsidR="00867430">
        <w:t xml:space="preserve"> </w:t>
      </w:r>
      <w:proofErr w:type="gramStart"/>
      <w:r w:rsidR="00867430">
        <w:t>Effect of Retention on Reading Achievement in Retention Schools (from Hong and Raudenbush, 2005, Figure 2, p. 218).</w:t>
      </w:r>
      <w:proofErr w:type="gramEnd"/>
    </w:p>
    <w:p w:rsidR="00867430" w:rsidRDefault="000F3E2D" w:rsidP="00867430">
      <w:pPr>
        <w:pStyle w:val="NormalWeb"/>
        <w:widowControl w:val="0"/>
        <w:spacing w:before="0" w:beforeAutospacing="0" w:after="0" w:afterAutospacing="0" w:line="480" w:lineRule="auto"/>
        <w:ind w:firstLine="432"/>
        <w:textAlignment w:val="top"/>
      </w:pPr>
      <w:r>
        <w:rPr>
          <w:noProof/>
        </w:rPr>
        <w:drawing>
          <wp:anchor distT="0" distB="0" distL="114300" distR="114300" simplePos="0" relativeHeight="251659264" behindDoc="0" locked="0" layoutInCell="1" allowOverlap="1">
            <wp:simplePos x="0" y="0"/>
            <wp:positionH relativeFrom="column">
              <wp:posOffset>342900</wp:posOffset>
            </wp:positionH>
            <wp:positionV relativeFrom="paragraph">
              <wp:posOffset>335280</wp:posOffset>
            </wp:positionV>
            <wp:extent cx="6400800" cy="4497070"/>
            <wp:effectExtent l="0" t="0" r="0" b="0"/>
            <wp:wrapNone/>
            <wp:docPr id="1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8"/>
                    <a:srcRect/>
                    <a:stretch>
                      <a:fillRect/>
                    </a:stretch>
                  </pic:blipFill>
                  <pic:spPr bwMode="auto">
                    <a:xfrm>
                      <a:off x="0" y="0"/>
                      <a:ext cx="6400800" cy="4497070"/>
                    </a:xfrm>
                    <a:prstGeom prst="rect">
                      <a:avLst/>
                    </a:prstGeom>
                    <a:noFill/>
                    <a:ln w="9525">
                      <a:noFill/>
                      <a:miter lim="800000"/>
                      <a:headEnd/>
                      <a:tailEnd/>
                    </a:ln>
                  </pic:spPr>
                </pic:pic>
              </a:graphicData>
            </a:graphic>
          </wp:anchor>
        </w:drawing>
      </w:r>
    </w:p>
    <w:p w:rsidR="00867430" w:rsidRDefault="00867430" w:rsidP="00867430">
      <w:pPr>
        <w:widowControl w:val="0"/>
        <w:spacing w:line="480" w:lineRule="auto"/>
        <w:rPr>
          <w:b/>
          <w:color w:val="000000"/>
        </w:rPr>
      </w:pPr>
      <w:bookmarkStart w:id="7" w:name="OLE_LINK8"/>
      <w:bookmarkStart w:id="8" w:name="OLE_LINK9"/>
    </w:p>
    <w:bookmarkEnd w:id="7"/>
    <w:bookmarkEnd w:id="8"/>
    <w:p w:rsidR="00867430" w:rsidRDefault="00867430" w:rsidP="00867430">
      <w:r>
        <w:br w:type="page"/>
      </w:r>
    </w:p>
    <w:p w:rsidR="006C010A" w:rsidRDefault="006C010A" w:rsidP="00397A94"/>
    <w:p w:rsidR="006C010A" w:rsidRDefault="006C010A" w:rsidP="00397A94"/>
    <w:p w:rsidR="006C010A" w:rsidRDefault="006C010A" w:rsidP="00397A94"/>
    <w:p w:rsidR="006C010A" w:rsidRDefault="006C010A" w:rsidP="00397A94"/>
    <w:p w:rsidR="006C010A" w:rsidRDefault="006C010A" w:rsidP="006C010A">
      <w:pPr>
        <w:pStyle w:val="NormalWeb"/>
        <w:widowControl w:val="0"/>
        <w:spacing w:before="0" w:beforeAutospacing="0" w:after="0" w:afterAutospacing="0" w:line="480" w:lineRule="auto"/>
        <w:textAlignment w:val="top"/>
      </w:pPr>
      <w:proofErr w:type="gramStart"/>
      <w:r>
        <w:rPr>
          <w:i/>
        </w:rPr>
        <w:t>Figure 4</w:t>
      </w:r>
      <w:r>
        <w:t>.</w:t>
      </w:r>
      <w:proofErr w:type="gramEnd"/>
      <w:r>
        <w:t xml:space="preserve"> Example Replacement of Cases with Counterfactual </w:t>
      </w:r>
      <w:r w:rsidR="00F82D9D">
        <w:t xml:space="preserve">Data </w:t>
      </w:r>
      <w:r>
        <w:t xml:space="preserve">to Invalidate Inference of an Effect of Kindergarten Retention </w:t>
      </w:r>
    </w:p>
    <w:p w:rsidR="006C010A" w:rsidRDefault="006C010A" w:rsidP="00397A94"/>
    <w:p w:rsidR="00066FA2" w:rsidRDefault="000F3E2D" w:rsidP="00397A94">
      <w:r>
        <w:rPr>
          <w:noProof/>
        </w:rPr>
        <w:drawing>
          <wp:inline distT="0" distB="0" distL="0" distR="0">
            <wp:extent cx="5487162" cy="3990975"/>
            <wp:effectExtent l="6096" t="0" r="2667" b="0"/>
            <wp:docPr id="297" name="Object 6"/>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686800" cy="6324600"/>
                      <a:chOff x="228600" y="266700"/>
                      <a:chExt cx="8686800" cy="6324600"/>
                    </a:xfrm>
                  </a:grpSpPr>
                  <a:sp>
                    <a:nvSpPr>
                      <a:cNvPr id="2" name="Title 1"/>
                      <a:cNvSpPr>
                        <a:spLocks noGrp="1"/>
                      </a:cNvSpPr>
                    </a:nvSpPr>
                    <a:spPr>
                      <a:xfrm>
                        <a:off x="457200" y="274638"/>
                        <a:ext cx="8229600" cy="1143000"/>
                      </a:xfrm>
                      <a:prstGeom prst="rect">
                        <a:avLst/>
                      </a:prstGeom>
                    </a:spPr>
                    <a:txSp>
                      <a:txBody>
                        <a:bodyPr vert="horz" lIns="91440" tIns="45720" rIns="91440" bIns="45720" rtlCol="0" anchor="ctr">
                          <a:normAutofit/>
                        </a:bodyPr>
                        <a:lstStyle>
                          <a:lvl1pPr algn="ctr" defTabSz="914400" rtl="0" eaLnBrk="1" latinLnBrk="0" hangingPunct="1">
                            <a:spcBef>
                              <a:spcPct val="0"/>
                            </a:spcBef>
                            <a:buNone/>
                            <a:defRPr sz="4400" kern="1200">
                              <a:solidFill>
                                <a:schemeClr val="tx1"/>
                              </a:solidFill>
                              <a:latin typeface="+mj-lt"/>
                              <a:ea typeface="+mj-ea"/>
                              <a:cs typeface="+mj-cs"/>
                            </a:defRPr>
                          </a:lvl1pPr>
                        </a:lstStyle>
                        <a:p>
                          <a:endParaRPr lang="en-US"/>
                        </a:p>
                      </a:txBody>
                      <a:useSpRect/>
                    </a:txSp>
                  </a:sp>
                  <a:sp>
                    <a:nvSpPr>
                      <a:cNvPr id="3" name="Content Placeholder 2"/>
                      <a:cNvSpPr>
                        <a:spLocks noGrp="1"/>
                      </a:cNvSpPr>
                    </a:nvSpPr>
                    <a:spPr>
                      <a:xfrm>
                        <a:off x="457200" y="1600200"/>
                        <a:ext cx="8229600" cy="4525963"/>
                      </a:xfrm>
                      <a:prstGeom prst="rect">
                        <a:avLst/>
                      </a:prstGeom>
                    </a:spPr>
                    <a:txSp>
                      <a:txBody>
                        <a:bodyPr vert="horz" lIns="91440" tIns="45720" rIns="91440" bIns="45720" rtlCol="0">
                          <a:normAutofit/>
                        </a:bodyPr>
                        <a:lstStyle>
                          <a:lvl1pPr marL="342900" indent="-342900" algn="l" defTabSz="914400" rtl="0" eaLnBrk="1" latinLnBrk="0" hangingPunct="1">
                            <a:spcBef>
                              <a:spcPct val="20000"/>
                            </a:spcBef>
                            <a:buFont typeface="Arial" pitchFamily="34" charset="0"/>
                            <a:buChar char="•"/>
                            <a:defRPr sz="3200" kern="1200">
                              <a:solidFill>
                                <a:schemeClr val="tx1"/>
                              </a:solidFill>
                              <a:latin typeface="+mn-lt"/>
                              <a:ea typeface="+mn-ea"/>
                              <a:cs typeface="+mn-cs"/>
                            </a:defRPr>
                          </a:lvl1pPr>
                          <a:lvl2pPr marL="742950" indent="-285750" algn="l" defTabSz="914400" rtl="0" eaLnBrk="1" latinLnBrk="0" hangingPunct="1">
                            <a:spcBef>
                              <a:spcPct val="20000"/>
                            </a:spcBef>
                            <a:buFont typeface="Arial" pitchFamily="34" charset="0"/>
                            <a:buChar char="–"/>
                            <a:defRPr sz="2800" kern="1200">
                              <a:solidFill>
                                <a:schemeClr val="tx1"/>
                              </a:solidFill>
                              <a:latin typeface="+mn-lt"/>
                              <a:ea typeface="+mn-ea"/>
                              <a:cs typeface="+mn-cs"/>
                            </a:defRPr>
                          </a:lvl2pPr>
                          <a:lvl3pPr marL="1143000" indent="-228600" algn="l" defTabSz="914400" rtl="0" eaLnBrk="1" latinLnBrk="0" hangingPunct="1">
                            <a:spcBef>
                              <a:spcPct val="20000"/>
                            </a:spcBef>
                            <a:buFont typeface="Arial" pitchFamily="34" charset="0"/>
                            <a:buChar char="•"/>
                            <a:defRPr sz="2400" kern="1200">
                              <a:solidFill>
                                <a:schemeClr val="tx1"/>
                              </a:solidFill>
                              <a:latin typeface="+mn-lt"/>
                              <a:ea typeface="+mn-ea"/>
                              <a:cs typeface="+mn-cs"/>
                            </a:defRPr>
                          </a:lvl3pPr>
                          <a:lvl4pPr marL="16002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4pPr>
                          <a:lvl5pPr marL="20574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5pPr>
                          <a:lvl6pPr marL="25146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6pPr>
                          <a:lvl7pPr marL="29718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7pPr>
                          <a:lvl8pPr marL="34290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8pPr>
                          <a:lvl9pPr marL="3886200" indent="-228600" algn="l" defTabSz="914400" rtl="0" eaLnBrk="1" latinLnBrk="0" hangingPunct="1">
                            <a:spcBef>
                              <a:spcPct val="20000"/>
                            </a:spcBef>
                            <a:buFont typeface="Arial" pitchFamily="34" charset="0"/>
                            <a:buChar char="•"/>
                            <a:defRPr sz="2000" kern="1200">
                              <a:solidFill>
                                <a:schemeClr val="tx1"/>
                              </a:solidFill>
                              <a:latin typeface="+mn-lt"/>
                              <a:ea typeface="+mn-ea"/>
                              <a:cs typeface="+mn-cs"/>
                            </a:defRPr>
                          </a:lvl9pPr>
                        </a:lstStyle>
                        <a:p>
                          <a:endParaRPr lang="en-US" dirty="0"/>
                        </a:p>
                      </a:txBody>
                      <a:useSpRect/>
                    </a:txSp>
                  </a:sp>
                  <a:pic>
                    <a:nvPicPr>
                      <a:cNvPr id="4" name="Picture 3"/>
                      <a:cNvPicPr>
                        <a:picLocks noChangeAspect="1" noChangeArrowheads="1"/>
                      </a:cNvPicPr>
                    </a:nvPicPr>
                    <a:blipFill>
                      <a:blip r:embed="rId159" cstate="print"/>
                      <a:srcRect l="11918" t="21906" r="22277" b="11204"/>
                      <a:stretch>
                        <a:fillRect/>
                      </a:stretch>
                    </a:blipFill>
                    <a:spPr bwMode="auto">
                      <a:xfrm>
                        <a:off x="4800600" y="266700"/>
                        <a:ext cx="4114800" cy="4800600"/>
                      </a:xfrm>
                      <a:prstGeom prst="rect">
                        <a:avLst/>
                      </a:prstGeom>
                      <a:noFill/>
                      <a:ln w="9525">
                        <a:solidFill>
                          <a:schemeClr val="tx1"/>
                        </a:solidFill>
                        <a:prstDash val="sysDash"/>
                        <a:miter lim="800000"/>
                        <a:headEnd/>
                        <a:tailEnd/>
                      </a:ln>
                    </a:spPr>
                  </a:pic>
                  <a:pic>
                    <a:nvPicPr>
                      <a:cNvPr id="5" name="Picture 4"/>
                      <a:cNvPicPr>
                        <a:picLocks noChangeAspect="1" noChangeArrowheads="1"/>
                      </a:cNvPicPr>
                    </a:nvPicPr>
                    <a:blipFill>
                      <a:blip r:embed="rId160" cstate="print"/>
                      <a:srcRect l="12376" t="21906" r="22277" b="11204"/>
                      <a:stretch>
                        <a:fillRect/>
                      </a:stretch>
                    </a:blipFill>
                    <a:spPr bwMode="auto">
                      <a:xfrm>
                        <a:off x="228600" y="266700"/>
                        <a:ext cx="4038600" cy="4800600"/>
                      </a:xfrm>
                      <a:prstGeom prst="rect">
                        <a:avLst/>
                      </a:prstGeom>
                      <a:noFill/>
                      <a:ln w="9525">
                        <a:noFill/>
                        <a:miter lim="800000"/>
                        <a:headEnd/>
                        <a:tailEnd/>
                      </a:ln>
                    </a:spPr>
                  </a:pic>
                  <a:cxnSp>
                    <a:nvCxnSpPr>
                      <a:cNvPr id="6" name="Straight Connector 5"/>
                      <a:cNvCxnSpPr/>
                    </a:nvCxnSpPr>
                    <a:spPr>
                      <a:xfrm flipH="1">
                        <a:off x="5181600" y="4686300"/>
                        <a:ext cx="304800" cy="0"/>
                      </a:xfrm>
                      <a:prstGeom prst="line">
                        <a:avLst/>
                      </a:prstGeom>
                      <a:ln w="41275">
                        <a:solidFill>
                          <a:schemeClr val="tx1"/>
                        </a:solidFill>
                        <a:prstDash val="sysDash"/>
                      </a:ln>
                    </a:spPr>
                    <a:style>
                      <a:lnRef idx="1">
                        <a:schemeClr val="accent1"/>
                      </a:lnRef>
                      <a:fillRef idx="0">
                        <a:schemeClr val="accent1"/>
                      </a:fillRef>
                      <a:effectRef idx="0">
                        <a:schemeClr val="accent1"/>
                      </a:effectRef>
                      <a:fontRef idx="minor">
                        <a:schemeClr val="tx1"/>
                      </a:fontRef>
                    </a:style>
                  </a:cxnSp>
                  <a:cxnSp>
                    <a:nvCxnSpPr>
                      <a:cNvPr id="7" name="Straight Connector 6"/>
                      <a:cNvCxnSpPr/>
                    </a:nvCxnSpPr>
                    <a:spPr>
                      <a:xfrm flipV="1">
                        <a:off x="5486400" y="4610100"/>
                        <a:ext cx="0" cy="76200"/>
                      </a:xfrm>
                      <a:prstGeom prst="line">
                        <a:avLst/>
                      </a:prstGeom>
                      <a:ln w="41275">
                        <a:solidFill>
                          <a:schemeClr val="tx1"/>
                        </a:solidFill>
                        <a:prstDash val="sysDash"/>
                      </a:ln>
                    </a:spPr>
                    <a:style>
                      <a:lnRef idx="1">
                        <a:schemeClr val="accent1"/>
                      </a:lnRef>
                      <a:fillRef idx="0">
                        <a:schemeClr val="accent1"/>
                      </a:fillRef>
                      <a:effectRef idx="0">
                        <a:schemeClr val="accent1"/>
                      </a:effectRef>
                      <a:fontRef idx="minor">
                        <a:schemeClr val="tx1"/>
                      </a:fontRef>
                    </a:style>
                  </a:cxnSp>
                  <a:cxnSp>
                    <a:nvCxnSpPr>
                      <a:cNvPr id="8" name="Straight Connector 7"/>
                      <a:cNvCxnSpPr/>
                    </a:nvCxnSpPr>
                    <a:spPr>
                      <a:xfrm flipH="1">
                        <a:off x="5486400" y="4610100"/>
                        <a:ext cx="304800" cy="0"/>
                      </a:xfrm>
                      <a:prstGeom prst="line">
                        <a:avLst/>
                      </a:prstGeom>
                      <a:ln w="41275">
                        <a:solidFill>
                          <a:schemeClr val="tx1"/>
                        </a:solidFill>
                        <a:prstDash val="sysDash"/>
                      </a:ln>
                    </a:spPr>
                    <a:style>
                      <a:lnRef idx="1">
                        <a:schemeClr val="accent1"/>
                      </a:lnRef>
                      <a:fillRef idx="0">
                        <a:schemeClr val="accent1"/>
                      </a:fillRef>
                      <a:effectRef idx="0">
                        <a:schemeClr val="accent1"/>
                      </a:effectRef>
                      <a:fontRef idx="minor">
                        <a:schemeClr val="tx1"/>
                      </a:fontRef>
                    </a:style>
                  </a:cxnSp>
                  <a:cxnSp>
                    <a:nvCxnSpPr>
                      <a:cNvPr id="9" name="Straight Connector 8"/>
                      <a:cNvCxnSpPr/>
                    </a:nvCxnSpPr>
                    <a:spPr>
                      <a:xfrm flipV="1">
                        <a:off x="5791200" y="4381500"/>
                        <a:ext cx="0" cy="228600"/>
                      </a:xfrm>
                      <a:prstGeom prst="line">
                        <a:avLst/>
                      </a:prstGeom>
                      <a:ln w="41275">
                        <a:solidFill>
                          <a:schemeClr val="tx1"/>
                        </a:solidFill>
                        <a:prstDash val="sysDash"/>
                      </a:ln>
                    </a:spPr>
                    <a:style>
                      <a:lnRef idx="1">
                        <a:schemeClr val="accent1"/>
                      </a:lnRef>
                      <a:fillRef idx="0">
                        <a:schemeClr val="accent1"/>
                      </a:fillRef>
                      <a:effectRef idx="0">
                        <a:schemeClr val="accent1"/>
                      </a:effectRef>
                      <a:fontRef idx="minor">
                        <a:schemeClr val="tx1"/>
                      </a:fontRef>
                    </a:style>
                  </a:cxnSp>
                  <a:cxnSp>
                    <a:nvCxnSpPr>
                      <a:cNvPr id="10" name="Straight Connector 9"/>
                      <a:cNvCxnSpPr/>
                    </a:nvCxnSpPr>
                    <a:spPr>
                      <a:xfrm flipH="1">
                        <a:off x="5791200" y="4381500"/>
                        <a:ext cx="304800" cy="0"/>
                      </a:xfrm>
                      <a:prstGeom prst="line">
                        <a:avLst/>
                      </a:prstGeom>
                      <a:ln w="41275">
                        <a:solidFill>
                          <a:schemeClr val="tx1"/>
                        </a:solidFill>
                        <a:prstDash val="sysDash"/>
                      </a:ln>
                    </a:spPr>
                    <a:style>
                      <a:lnRef idx="1">
                        <a:schemeClr val="accent1"/>
                      </a:lnRef>
                      <a:fillRef idx="0">
                        <a:schemeClr val="accent1"/>
                      </a:fillRef>
                      <a:effectRef idx="0">
                        <a:schemeClr val="accent1"/>
                      </a:effectRef>
                      <a:fontRef idx="minor">
                        <a:schemeClr val="tx1"/>
                      </a:fontRef>
                    </a:style>
                  </a:cxnSp>
                  <a:cxnSp>
                    <a:nvCxnSpPr>
                      <a:cNvPr id="11" name="Straight Connector 10"/>
                      <a:cNvCxnSpPr/>
                    </a:nvCxnSpPr>
                    <a:spPr>
                      <a:xfrm flipV="1">
                        <a:off x="6096000" y="3467100"/>
                        <a:ext cx="0" cy="914400"/>
                      </a:xfrm>
                      <a:prstGeom prst="line">
                        <a:avLst/>
                      </a:prstGeom>
                      <a:ln w="41275">
                        <a:solidFill>
                          <a:schemeClr val="tx1"/>
                        </a:solidFill>
                        <a:prstDash val="sysDash"/>
                      </a:ln>
                    </a:spPr>
                    <a:style>
                      <a:lnRef idx="1">
                        <a:schemeClr val="accent1"/>
                      </a:lnRef>
                      <a:fillRef idx="0">
                        <a:schemeClr val="accent1"/>
                      </a:fillRef>
                      <a:effectRef idx="0">
                        <a:schemeClr val="accent1"/>
                      </a:effectRef>
                      <a:fontRef idx="minor">
                        <a:schemeClr val="tx1"/>
                      </a:fontRef>
                    </a:style>
                  </a:cxnSp>
                  <a:cxnSp>
                    <a:nvCxnSpPr>
                      <a:cNvPr id="12" name="Straight Connector 11"/>
                      <a:cNvCxnSpPr/>
                    </a:nvCxnSpPr>
                    <a:spPr>
                      <a:xfrm flipH="1">
                        <a:off x="6096000" y="3467100"/>
                        <a:ext cx="304800" cy="0"/>
                      </a:xfrm>
                      <a:prstGeom prst="line">
                        <a:avLst/>
                      </a:prstGeom>
                      <a:ln w="41275">
                        <a:solidFill>
                          <a:schemeClr val="tx1"/>
                        </a:solidFill>
                        <a:prstDash val="sysDash"/>
                      </a:ln>
                    </a:spPr>
                    <a:style>
                      <a:lnRef idx="1">
                        <a:schemeClr val="accent1"/>
                      </a:lnRef>
                      <a:fillRef idx="0">
                        <a:schemeClr val="accent1"/>
                      </a:fillRef>
                      <a:effectRef idx="0">
                        <a:schemeClr val="accent1"/>
                      </a:effectRef>
                      <a:fontRef idx="minor">
                        <a:schemeClr val="tx1"/>
                      </a:fontRef>
                    </a:style>
                  </a:cxnSp>
                  <a:cxnSp>
                    <a:nvCxnSpPr>
                      <a:cNvPr id="13" name="Straight Connector 12"/>
                      <a:cNvCxnSpPr/>
                    </a:nvCxnSpPr>
                    <a:spPr>
                      <a:xfrm flipV="1">
                        <a:off x="6400800" y="2095500"/>
                        <a:ext cx="0" cy="1371600"/>
                      </a:xfrm>
                      <a:prstGeom prst="line">
                        <a:avLst/>
                      </a:prstGeom>
                      <a:ln w="41275">
                        <a:solidFill>
                          <a:schemeClr val="tx1"/>
                        </a:solidFill>
                        <a:prstDash val="sysDash"/>
                      </a:ln>
                    </a:spPr>
                    <a:style>
                      <a:lnRef idx="1">
                        <a:schemeClr val="accent1"/>
                      </a:lnRef>
                      <a:fillRef idx="0">
                        <a:schemeClr val="accent1"/>
                      </a:fillRef>
                      <a:effectRef idx="0">
                        <a:schemeClr val="accent1"/>
                      </a:effectRef>
                      <a:fontRef idx="minor">
                        <a:schemeClr val="tx1"/>
                      </a:fontRef>
                    </a:style>
                  </a:cxnSp>
                  <a:cxnSp>
                    <a:nvCxnSpPr>
                      <a:cNvPr id="14" name="Straight Connector 13"/>
                      <a:cNvCxnSpPr/>
                    </a:nvCxnSpPr>
                    <a:spPr>
                      <a:xfrm flipH="1">
                        <a:off x="6400800" y="2095500"/>
                        <a:ext cx="304800" cy="0"/>
                      </a:xfrm>
                      <a:prstGeom prst="line">
                        <a:avLst/>
                      </a:prstGeom>
                      <a:ln w="41275">
                        <a:solidFill>
                          <a:schemeClr val="tx1"/>
                        </a:solidFill>
                        <a:prstDash val="sysDash"/>
                      </a:ln>
                    </a:spPr>
                    <a:style>
                      <a:lnRef idx="1">
                        <a:schemeClr val="accent1"/>
                      </a:lnRef>
                      <a:fillRef idx="0">
                        <a:schemeClr val="accent1"/>
                      </a:fillRef>
                      <a:effectRef idx="0">
                        <a:schemeClr val="accent1"/>
                      </a:effectRef>
                      <a:fontRef idx="minor">
                        <a:schemeClr val="tx1"/>
                      </a:fontRef>
                    </a:style>
                  </a:cxnSp>
                  <a:cxnSp>
                    <a:nvCxnSpPr>
                      <a:cNvPr id="15" name="Straight Connector 14"/>
                      <a:cNvCxnSpPr/>
                    </a:nvCxnSpPr>
                    <a:spPr>
                      <a:xfrm flipV="1">
                        <a:off x="6705600" y="419100"/>
                        <a:ext cx="0" cy="1676400"/>
                      </a:xfrm>
                      <a:prstGeom prst="line">
                        <a:avLst/>
                      </a:prstGeom>
                      <a:ln w="41275">
                        <a:solidFill>
                          <a:schemeClr val="tx1"/>
                        </a:solidFill>
                        <a:prstDash val="sysDash"/>
                      </a:ln>
                    </a:spPr>
                    <a:style>
                      <a:lnRef idx="1">
                        <a:schemeClr val="accent1"/>
                      </a:lnRef>
                      <a:fillRef idx="0">
                        <a:schemeClr val="accent1"/>
                      </a:fillRef>
                      <a:effectRef idx="0">
                        <a:schemeClr val="accent1"/>
                      </a:effectRef>
                      <a:fontRef idx="minor">
                        <a:schemeClr val="tx1"/>
                      </a:fontRef>
                    </a:style>
                  </a:cxnSp>
                  <a:cxnSp>
                    <a:nvCxnSpPr>
                      <a:cNvPr id="16" name="Straight Connector 15"/>
                      <a:cNvCxnSpPr/>
                    </a:nvCxnSpPr>
                    <a:spPr>
                      <a:xfrm flipH="1">
                        <a:off x="6705600" y="419100"/>
                        <a:ext cx="304800" cy="0"/>
                      </a:xfrm>
                      <a:prstGeom prst="line">
                        <a:avLst/>
                      </a:prstGeom>
                      <a:ln w="41275">
                        <a:solidFill>
                          <a:schemeClr val="tx1"/>
                        </a:solidFill>
                        <a:prstDash val="sysDash"/>
                      </a:ln>
                    </a:spPr>
                    <a:style>
                      <a:lnRef idx="1">
                        <a:schemeClr val="accent1"/>
                      </a:lnRef>
                      <a:fillRef idx="0">
                        <a:schemeClr val="accent1"/>
                      </a:fillRef>
                      <a:effectRef idx="0">
                        <a:schemeClr val="accent1"/>
                      </a:effectRef>
                      <a:fontRef idx="minor">
                        <a:schemeClr val="tx1"/>
                      </a:fontRef>
                    </a:style>
                  </a:cxnSp>
                  <a:cxnSp>
                    <a:nvCxnSpPr>
                      <a:cNvPr id="17" name="Straight Connector 16"/>
                      <a:cNvCxnSpPr/>
                    </a:nvCxnSpPr>
                    <a:spPr>
                      <a:xfrm flipV="1">
                        <a:off x="7010400" y="419100"/>
                        <a:ext cx="0" cy="381000"/>
                      </a:xfrm>
                      <a:prstGeom prst="line">
                        <a:avLst/>
                      </a:prstGeom>
                      <a:ln w="41275">
                        <a:solidFill>
                          <a:schemeClr val="tx1"/>
                        </a:solidFill>
                        <a:prstDash val="sysDash"/>
                      </a:ln>
                    </a:spPr>
                    <a:style>
                      <a:lnRef idx="1">
                        <a:schemeClr val="accent1"/>
                      </a:lnRef>
                      <a:fillRef idx="0">
                        <a:schemeClr val="accent1"/>
                      </a:fillRef>
                      <a:effectRef idx="0">
                        <a:schemeClr val="accent1"/>
                      </a:effectRef>
                      <a:fontRef idx="minor">
                        <a:schemeClr val="tx1"/>
                      </a:fontRef>
                    </a:style>
                  </a:cxnSp>
                  <a:cxnSp>
                    <a:nvCxnSpPr>
                      <a:cNvPr id="18" name="Straight Connector 17"/>
                      <a:cNvCxnSpPr/>
                    </a:nvCxnSpPr>
                    <a:spPr>
                      <a:xfrm flipH="1">
                        <a:off x="7010400" y="800100"/>
                        <a:ext cx="381000" cy="0"/>
                      </a:xfrm>
                      <a:prstGeom prst="line">
                        <a:avLst/>
                      </a:prstGeom>
                      <a:ln w="41275">
                        <a:solidFill>
                          <a:schemeClr val="tx1"/>
                        </a:solidFill>
                        <a:prstDash val="sysDash"/>
                      </a:ln>
                    </a:spPr>
                    <a:style>
                      <a:lnRef idx="1">
                        <a:schemeClr val="accent1"/>
                      </a:lnRef>
                      <a:fillRef idx="0">
                        <a:schemeClr val="accent1"/>
                      </a:fillRef>
                      <a:effectRef idx="0">
                        <a:schemeClr val="accent1"/>
                      </a:effectRef>
                      <a:fontRef idx="minor">
                        <a:schemeClr val="tx1"/>
                      </a:fontRef>
                    </a:style>
                  </a:cxnSp>
                  <a:cxnSp>
                    <a:nvCxnSpPr>
                      <a:cNvPr id="19" name="Straight Connector 18"/>
                      <a:cNvCxnSpPr/>
                    </a:nvCxnSpPr>
                    <a:spPr>
                      <a:xfrm flipV="1">
                        <a:off x="7391400" y="800100"/>
                        <a:ext cx="0" cy="1143000"/>
                      </a:xfrm>
                      <a:prstGeom prst="line">
                        <a:avLst/>
                      </a:prstGeom>
                      <a:ln w="41275">
                        <a:solidFill>
                          <a:schemeClr val="tx1"/>
                        </a:solidFill>
                        <a:prstDash val="sysDash"/>
                      </a:ln>
                    </a:spPr>
                    <a:style>
                      <a:lnRef idx="1">
                        <a:schemeClr val="accent1"/>
                      </a:lnRef>
                      <a:fillRef idx="0">
                        <a:schemeClr val="accent1"/>
                      </a:fillRef>
                      <a:effectRef idx="0">
                        <a:schemeClr val="accent1"/>
                      </a:effectRef>
                      <a:fontRef idx="minor">
                        <a:schemeClr val="tx1"/>
                      </a:fontRef>
                    </a:style>
                  </a:cxnSp>
                  <a:cxnSp>
                    <a:nvCxnSpPr>
                      <a:cNvPr id="20" name="Straight Connector 19"/>
                      <a:cNvCxnSpPr/>
                    </a:nvCxnSpPr>
                    <a:spPr>
                      <a:xfrm flipH="1">
                        <a:off x="7391400" y="1943100"/>
                        <a:ext cx="304800" cy="0"/>
                      </a:xfrm>
                      <a:prstGeom prst="line">
                        <a:avLst/>
                      </a:prstGeom>
                      <a:ln w="41275">
                        <a:solidFill>
                          <a:schemeClr val="tx1"/>
                        </a:solidFill>
                        <a:prstDash val="sysDash"/>
                      </a:ln>
                    </a:spPr>
                    <a:style>
                      <a:lnRef idx="1">
                        <a:schemeClr val="accent1"/>
                      </a:lnRef>
                      <a:fillRef idx="0">
                        <a:schemeClr val="accent1"/>
                      </a:fillRef>
                      <a:effectRef idx="0">
                        <a:schemeClr val="accent1"/>
                      </a:effectRef>
                      <a:fontRef idx="minor">
                        <a:schemeClr val="tx1"/>
                      </a:fontRef>
                    </a:style>
                  </a:cxnSp>
                  <a:cxnSp>
                    <a:nvCxnSpPr>
                      <a:cNvPr id="21" name="Straight Connector 20"/>
                      <a:cNvCxnSpPr/>
                    </a:nvCxnSpPr>
                    <a:spPr>
                      <a:xfrm flipV="1">
                        <a:off x="7696200" y="1943100"/>
                        <a:ext cx="0" cy="1752600"/>
                      </a:xfrm>
                      <a:prstGeom prst="line">
                        <a:avLst/>
                      </a:prstGeom>
                      <a:ln w="41275">
                        <a:solidFill>
                          <a:schemeClr val="tx1"/>
                        </a:solidFill>
                        <a:prstDash val="sysDash"/>
                      </a:ln>
                    </a:spPr>
                    <a:style>
                      <a:lnRef idx="1">
                        <a:schemeClr val="accent1"/>
                      </a:lnRef>
                      <a:fillRef idx="0">
                        <a:schemeClr val="accent1"/>
                      </a:fillRef>
                      <a:effectRef idx="0">
                        <a:schemeClr val="accent1"/>
                      </a:effectRef>
                      <a:fontRef idx="minor">
                        <a:schemeClr val="tx1"/>
                      </a:fontRef>
                    </a:style>
                  </a:cxnSp>
                  <a:cxnSp>
                    <a:nvCxnSpPr>
                      <a:cNvPr id="22" name="Straight Connector 21"/>
                      <a:cNvCxnSpPr/>
                    </a:nvCxnSpPr>
                    <a:spPr>
                      <a:xfrm flipH="1">
                        <a:off x="7696200" y="3695700"/>
                        <a:ext cx="304800" cy="0"/>
                      </a:xfrm>
                      <a:prstGeom prst="line">
                        <a:avLst/>
                      </a:prstGeom>
                      <a:ln w="41275">
                        <a:solidFill>
                          <a:schemeClr val="tx1"/>
                        </a:solidFill>
                        <a:prstDash val="sysDash"/>
                      </a:ln>
                    </a:spPr>
                    <a:style>
                      <a:lnRef idx="1">
                        <a:schemeClr val="accent1"/>
                      </a:lnRef>
                      <a:fillRef idx="0">
                        <a:schemeClr val="accent1"/>
                      </a:fillRef>
                      <a:effectRef idx="0">
                        <a:schemeClr val="accent1"/>
                      </a:effectRef>
                      <a:fontRef idx="minor">
                        <a:schemeClr val="tx1"/>
                      </a:fontRef>
                    </a:style>
                  </a:cxnSp>
                  <a:cxnSp>
                    <a:nvCxnSpPr>
                      <a:cNvPr id="23" name="Straight Connector 22"/>
                      <a:cNvCxnSpPr/>
                    </a:nvCxnSpPr>
                    <a:spPr>
                      <a:xfrm flipV="1">
                        <a:off x="8001000" y="3695700"/>
                        <a:ext cx="0" cy="990600"/>
                      </a:xfrm>
                      <a:prstGeom prst="line">
                        <a:avLst/>
                      </a:prstGeom>
                      <a:ln w="41275">
                        <a:solidFill>
                          <a:schemeClr val="tx1"/>
                        </a:solidFill>
                        <a:prstDash val="sysDash"/>
                      </a:ln>
                    </a:spPr>
                    <a:style>
                      <a:lnRef idx="1">
                        <a:schemeClr val="accent1"/>
                      </a:lnRef>
                      <a:fillRef idx="0">
                        <a:schemeClr val="accent1"/>
                      </a:fillRef>
                      <a:effectRef idx="0">
                        <a:schemeClr val="accent1"/>
                      </a:effectRef>
                      <a:fontRef idx="minor">
                        <a:schemeClr val="tx1"/>
                      </a:fontRef>
                    </a:style>
                  </a:cxnSp>
                  <a:cxnSp>
                    <a:nvCxnSpPr>
                      <a:cNvPr id="24" name="Straight Connector 23"/>
                      <a:cNvCxnSpPr/>
                    </a:nvCxnSpPr>
                    <a:spPr>
                      <a:xfrm flipH="1">
                        <a:off x="8001000" y="4686300"/>
                        <a:ext cx="228600" cy="0"/>
                      </a:xfrm>
                      <a:prstGeom prst="line">
                        <a:avLst/>
                      </a:prstGeom>
                      <a:ln w="41275">
                        <a:solidFill>
                          <a:schemeClr val="tx1"/>
                        </a:solidFill>
                        <a:prstDash val="sysDash"/>
                      </a:ln>
                    </a:spPr>
                    <a:style>
                      <a:lnRef idx="1">
                        <a:schemeClr val="accent1"/>
                      </a:lnRef>
                      <a:fillRef idx="0">
                        <a:schemeClr val="accent1"/>
                      </a:fillRef>
                      <a:effectRef idx="0">
                        <a:schemeClr val="accent1"/>
                      </a:effectRef>
                      <a:fontRef idx="minor">
                        <a:schemeClr val="tx1"/>
                      </a:fontRef>
                    </a:style>
                  </a:cxnSp>
                  <a:cxnSp>
                    <a:nvCxnSpPr>
                      <a:cNvPr id="25" name="Straight Connector 24"/>
                      <a:cNvCxnSpPr/>
                    </a:nvCxnSpPr>
                    <a:spPr>
                      <a:xfrm>
                        <a:off x="8229600" y="4686300"/>
                        <a:ext cx="0" cy="0"/>
                      </a:xfrm>
                      <a:prstGeom prst="line">
                        <a:avLst/>
                      </a:prstGeom>
                      <a:ln w="41275">
                        <a:solidFill>
                          <a:schemeClr val="tx1"/>
                        </a:solidFill>
                        <a:prstDash val="sysDash"/>
                      </a:ln>
                    </a:spPr>
                    <a:style>
                      <a:lnRef idx="1">
                        <a:schemeClr val="accent1"/>
                      </a:lnRef>
                      <a:fillRef idx="0">
                        <a:schemeClr val="accent1"/>
                      </a:fillRef>
                      <a:effectRef idx="0">
                        <a:schemeClr val="accent1"/>
                      </a:effectRef>
                      <a:fontRef idx="minor">
                        <a:schemeClr val="tx1"/>
                      </a:fontRef>
                    </a:style>
                  </a:cxnSp>
                  <a:cxnSp>
                    <a:nvCxnSpPr>
                      <a:cNvPr id="26" name="Straight Connector 25"/>
                      <a:cNvCxnSpPr/>
                    </a:nvCxnSpPr>
                    <a:spPr>
                      <a:xfrm>
                        <a:off x="1219200" y="4610100"/>
                        <a:ext cx="0" cy="152400"/>
                      </a:xfrm>
                      <a:prstGeom prst="line">
                        <a:avLst/>
                      </a:prstGeom>
                      <a:ln w="41275">
                        <a:solidFill>
                          <a:schemeClr val="tx1"/>
                        </a:solidFill>
                        <a:prstDash val="sysDash"/>
                      </a:ln>
                    </a:spPr>
                    <a:style>
                      <a:lnRef idx="1">
                        <a:schemeClr val="accent1"/>
                      </a:lnRef>
                      <a:fillRef idx="0">
                        <a:schemeClr val="accent1"/>
                      </a:fillRef>
                      <a:effectRef idx="0">
                        <a:schemeClr val="accent1"/>
                      </a:effectRef>
                      <a:fontRef idx="minor">
                        <a:schemeClr val="tx1"/>
                      </a:fontRef>
                    </a:style>
                  </a:cxnSp>
                  <a:cxnSp>
                    <a:nvCxnSpPr>
                      <a:cNvPr id="27" name="Straight Connector 26"/>
                      <a:cNvCxnSpPr/>
                    </a:nvCxnSpPr>
                    <a:spPr>
                      <a:xfrm flipV="1">
                        <a:off x="1524000" y="4533900"/>
                        <a:ext cx="0" cy="76200"/>
                      </a:xfrm>
                      <a:prstGeom prst="line">
                        <a:avLst/>
                      </a:prstGeom>
                      <a:ln w="41275">
                        <a:solidFill>
                          <a:schemeClr val="tx1"/>
                        </a:solidFill>
                        <a:prstDash val="sysDash"/>
                      </a:ln>
                    </a:spPr>
                    <a:style>
                      <a:lnRef idx="1">
                        <a:schemeClr val="accent1"/>
                      </a:lnRef>
                      <a:fillRef idx="0">
                        <a:schemeClr val="accent1"/>
                      </a:fillRef>
                      <a:effectRef idx="0">
                        <a:schemeClr val="accent1"/>
                      </a:effectRef>
                      <a:fontRef idx="minor">
                        <a:schemeClr val="tx1"/>
                      </a:fontRef>
                    </a:style>
                  </a:cxnSp>
                  <a:cxnSp>
                    <a:nvCxnSpPr>
                      <a:cNvPr id="28" name="Straight Connector 27"/>
                      <a:cNvCxnSpPr/>
                    </a:nvCxnSpPr>
                    <a:spPr>
                      <a:xfrm flipH="1">
                        <a:off x="1219200" y="4610100"/>
                        <a:ext cx="304800" cy="0"/>
                      </a:xfrm>
                      <a:prstGeom prst="line">
                        <a:avLst/>
                      </a:prstGeom>
                      <a:ln w="41275">
                        <a:solidFill>
                          <a:schemeClr val="tx1"/>
                        </a:solidFill>
                        <a:prstDash val="sysDash"/>
                      </a:ln>
                    </a:spPr>
                    <a:style>
                      <a:lnRef idx="1">
                        <a:schemeClr val="accent1"/>
                      </a:lnRef>
                      <a:fillRef idx="0">
                        <a:schemeClr val="accent1"/>
                      </a:fillRef>
                      <a:effectRef idx="0">
                        <a:schemeClr val="accent1"/>
                      </a:effectRef>
                      <a:fontRef idx="minor">
                        <a:schemeClr val="tx1"/>
                      </a:fontRef>
                    </a:style>
                  </a:cxnSp>
                  <a:cxnSp>
                    <a:nvCxnSpPr>
                      <a:cNvPr id="29" name="Straight Connector 28"/>
                      <a:cNvCxnSpPr/>
                    </a:nvCxnSpPr>
                    <a:spPr>
                      <a:xfrm flipH="1">
                        <a:off x="1524000" y="4533900"/>
                        <a:ext cx="304800" cy="0"/>
                      </a:xfrm>
                      <a:prstGeom prst="line">
                        <a:avLst/>
                      </a:prstGeom>
                      <a:ln w="41275">
                        <a:solidFill>
                          <a:schemeClr val="tx1"/>
                        </a:solidFill>
                        <a:prstDash val="sysDash"/>
                      </a:ln>
                    </a:spPr>
                    <a:style>
                      <a:lnRef idx="1">
                        <a:schemeClr val="accent1"/>
                      </a:lnRef>
                      <a:fillRef idx="0">
                        <a:schemeClr val="accent1"/>
                      </a:fillRef>
                      <a:effectRef idx="0">
                        <a:schemeClr val="accent1"/>
                      </a:effectRef>
                      <a:fontRef idx="minor">
                        <a:schemeClr val="tx1"/>
                      </a:fontRef>
                    </a:style>
                  </a:cxnSp>
                  <a:cxnSp>
                    <a:nvCxnSpPr>
                      <a:cNvPr id="30" name="Straight Connector 29"/>
                      <a:cNvCxnSpPr/>
                    </a:nvCxnSpPr>
                    <a:spPr>
                      <a:xfrm>
                        <a:off x="1828800" y="4305300"/>
                        <a:ext cx="0" cy="228600"/>
                      </a:xfrm>
                      <a:prstGeom prst="line">
                        <a:avLst/>
                      </a:prstGeom>
                      <a:ln w="41275">
                        <a:solidFill>
                          <a:schemeClr val="tx1"/>
                        </a:solidFill>
                        <a:prstDash val="sysDash"/>
                      </a:ln>
                    </a:spPr>
                    <a:style>
                      <a:lnRef idx="1">
                        <a:schemeClr val="accent1"/>
                      </a:lnRef>
                      <a:fillRef idx="0">
                        <a:schemeClr val="accent1"/>
                      </a:fillRef>
                      <a:effectRef idx="0">
                        <a:schemeClr val="accent1"/>
                      </a:effectRef>
                      <a:fontRef idx="minor">
                        <a:schemeClr val="tx1"/>
                      </a:fontRef>
                    </a:style>
                  </a:cxnSp>
                  <a:cxnSp>
                    <a:nvCxnSpPr>
                      <a:cNvPr id="31" name="Straight Connector 30"/>
                      <a:cNvCxnSpPr/>
                    </a:nvCxnSpPr>
                    <a:spPr>
                      <a:xfrm flipH="1">
                        <a:off x="1828800" y="4305300"/>
                        <a:ext cx="304800" cy="0"/>
                      </a:xfrm>
                      <a:prstGeom prst="line">
                        <a:avLst/>
                      </a:prstGeom>
                      <a:ln w="41275">
                        <a:solidFill>
                          <a:schemeClr val="tx1"/>
                        </a:solidFill>
                        <a:prstDash val="sysDash"/>
                      </a:ln>
                    </a:spPr>
                    <a:style>
                      <a:lnRef idx="1">
                        <a:schemeClr val="accent1"/>
                      </a:lnRef>
                      <a:fillRef idx="0">
                        <a:schemeClr val="accent1"/>
                      </a:fillRef>
                      <a:effectRef idx="0">
                        <a:schemeClr val="accent1"/>
                      </a:effectRef>
                      <a:fontRef idx="minor">
                        <a:schemeClr val="tx1"/>
                      </a:fontRef>
                    </a:style>
                  </a:cxnSp>
                  <a:cxnSp>
                    <a:nvCxnSpPr>
                      <a:cNvPr id="32" name="Straight Connector 31"/>
                      <a:cNvCxnSpPr/>
                    </a:nvCxnSpPr>
                    <a:spPr>
                      <a:xfrm>
                        <a:off x="2133600" y="4305300"/>
                        <a:ext cx="0" cy="228600"/>
                      </a:xfrm>
                      <a:prstGeom prst="line">
                        <a:avLst/>
                      </a:prstGeom>
                      <a:ln w="41275">
                        <a:solidFill>
                          <a:schemeClr val="tx1"/>
                        </a:solidFill>
                        <a:prstDash val="sysDash"/>
                      </a:ln>
                    </a:spPr>
                    <a:style>
                      <a:lnRef idx="1">
                        <a:schemeClr val="accent1"/>
                      </a:lnRef>
                      <a:fillRef idx="0">
                        <a:schemeClr val="accent1"/>
                      </a:fillRef>
                      <a:effectRef idx="0">
                        <a:schemeClr val="accent1"/>
                      </a:effectRef>
                      <a:fontRef idx="minor">
                        <a:schemeClr val="tx1"/>
                      </a:fontRef>
                    </a:style>
                  </a:cxnSp>
                  <a:cxnSp>
                    <a:nvCxnSpPr>
                      <a:cNvPr id="33" name="Straight Connector 32"/>
                      <a:cNvCxnSpPr/>
                    </a:nvCxnSpPr>
                    <a:spPr>
                      <a:xfrm flipH="1">
                        <a:off x="2133600" y="4533900"/>
                        <a:ext cx="304800" cy="0"/>
                      </a:xfrm>
                      <a:prstGeom prst="line">
                        <a:avLst/>
                      </a:prstGeom>
                      <a:ln w="41275">
                        <a:solidFill>
                          <a:schemeClr val="tx1"/>
                        </a:solidFill>
                        <a:prstDash val="sysDash"/>
                      </a:ln>
                    </a:spPr>
                    <a:style>
                      <a:lnRef idx="1">
                        <a:schemeClr val="accent1"/>
                      </a:lnRef>
                      <a:fillRef idx="0">
                        <a:schemeClr val="accent1"/>
                      </a:fillRef>
                      <a:effectRef idx="0">
                        <a:schemeClr val="accent1"/>
                      </a:effectRef>
                      <a:fontRef idx="minor">
                        <a:schemeClr val="tx1"/>
                      </a:fontRef>
                    </a:style>
                  </a:cxnSp>
                  <a:cxnSp>
                    <a:nvCxnSpPr>
                      <a:cNvPr id="34" name="Straight Connector 33"/>
                      <a:cNvCxnSpPr/>
                    </a:nvCxnSpPr>
                    <a:spPr>
                      <a:xfrm>
                        <a:off x="2438400" y="4533900"/>
                        <a:ext cx="0" cy="76200"/>
                      </a:xfrm>
                      <a:prstGeom prst="line">
                        <a:avLst/>
                      </a:prstGeom>
                      <a:ln w="41275">
                        <a:solidFill>
                          <a:schemeClr val="tx1"/>
                        </a:solidFill>
                        <a:prstDash val="sysDash"/>
                      </a:ln>
                    </a:spPr>
                    <a:style>
                      <a:lnRef idx="1">
                        <a:schemeClr val="accent1"/>
                      </a:lnRef>
                      <a:fillRef idx="0">
                        <a:schemeClr val="accent1"/>
                      </a:fillRef>
                      <a:effectRef idx="0">
                        <a:schemeClr val="accent1"/>
                      </a:effectRef>
                      <a:fontRef idx="minor">
                        <a:schemeClr val="tx1"/>
                      </a:fontRef>
                    </a:style>
                  </a:cxnSp>
                  <a:cxnSp>
                    <a:nvCxnSpPr>
                      <a:cNvPr id="35" name="Straight Connector 34"/>
                      <a:cNvCxnSpPr/>
                    </a:nvCxnSpPr>
                    <a:spPr>
                      <a:xfrm flipH="1">
                        <a:off x="2438400" y="4610100"/>
                        <a:ext cx="304800" cy="0"/>
                      </a:xfrm>
                      <a:prstGeom prst="line">
                        <a:avLst/>
                      </a:prstGeom>
                      <a:ln w="41275">
                        <a:solidFill>
                          <a:schemeClr val="tx1"/>
                        </a:solidFill>
                        <a:prstDash val="sysDash"/>
                      </a:ln>
                    </a:spPr>
                    <a:style>
                      <a:lnRef idx="1">
                        <a:schemeClr val="accent1"/>
                      </a:lnRef>
                      <a:fillRef idx="0">
                        <a:schemeClr val="accent1"/>
                      </a:fillRef>
                      <a:effectRef idx="0">
                        <a:schemeClr val="accent1"/>
                      </a:effectRef>
                      <a:fontRef idx="minor">
                        <a:schemeClr val="tx1"/>
                      </a:fontRef>
                    </a:style>
                  </a:cxnSp>
                  <a:cxnSp>
                    <a:nvCxnSpPr>
                      <a:cNvPr id="36" name="Straight Connector 35"/>
                      <a:cNvCxnSpPr/>
                    </a:nvCxnSpPr>
                    <a:spPr>
                      <a:xfrm flipH="1">
                        <a:off x="2743200" y="4686300"/>
                        <a:ext cx="1219200" cy="0"/>
                      </a:xfrm>
                      <a:prstGeom prst="line">
                        <a:avLst/>
                      </a:prstGeom>
                      <a:ln w="41275">
                        <a:solidFill>
                          <a:schemeClr val="tx1"/>
                        </a:solidFill>
                        <a:prstDash val="sysDash"/>
                      </a:ln>
                    </a:spPr>
                    <a:style>
                      <a:lnRef idx="1">
                        <a:schemeClr val="accent1"/>
                      </a:lnRef>
                      <a:fillRef idx="0">
                        <a:schemeClr val="accent1"/>
                      </a:fillRef>
                      <a:effectRef idx="0">
                        <a:schemeClr val="accent1"/>
                      </a:effectRef>
                      <a:fontRef idx="minor">
                        <a:schemeClr val="tx1"/>
                      </a:fontRef>
                    </a:style>
                  </a:cxnSp>
                  <a:pic>
                    <a:nvPicPr>
                      <a:cNvPr id="37" name="Picture 36"/>
                      <a:cNvPicPr>
                        <a:picLocks noChangeAspect="1" noChangeArrowheads="1"/>
                      </a:cNvPicPr>
                    </a:nvPicPr>
                    <a:blipFill>
                      <a:blip r:embed="rId157" cstate="print"/>
                      <a:srcRect l="53330" t="94720" r="40158"/>
                      <a:stretch>
                        <a:fillRect/>
                      </a:stretch>
                    </a:blipFill>
                    <a:spPr bwMode="auto">
                      <a:xfrm>
                        <a:off x="2819400" y="6054923"/>
                        <a:ext cx="381000" cy="304800"/>
                      </a:xfrm>
                      <a:prstGeom prst="rect">
                        <a:avLst/>
                      </a:prstGeom>
                      <a:noFill/>
                      <a:ln w="9525">
                        <a:noFill/>
                        <a:miter lim="800000"/>
                        <a:headEnd/>
                        <a:tailEnd/>
                      </a:ln>
                    </a:spPr>
                  </a:pic>
                  <a:pic>
                    <a:nvPicPr>
                      <a:cNvPr id="38" name="Picture 37"/>
                      <a:cNvPicPr>
                        <a:picLocks noChangeAspect="1" noChangeArrowheads="1"/>
                      </a:cNvPicPr>
                    </a:nvPicPr>
                    <a:blipFill>
                      <a:blip r:embed="rId157" cstate="print"/>
                      <a:srcRect l="42910" t="96480" r="49275"/>
                      <a:stretch>
                        <a:fillRect/>
                      </a:stretch>
                    </a:blipFill>
                    <a:spPr bwMode="auto">
                      <a:xfrm>
                        <a:off x="2819400" y="5902523"/>
                        <a:ext cx="457200" cy="228600"/>
                      </a:xfrm>
                      <a:prstGeom prst="rect">
                        <a:avLst/>
                      </a:prstGeom>
                      <a:noFill/>
                      <a:ln w="9525">
                        <a:noFill/>
                        <a:miter lim="800000"/>
                        <a:headEnd/>
                        <a:tailEnd/>
                      </a:ln>
                    </a:spPr>
                  </a:pic>
                  <a:sp>
                    <a:nvSpPr>
                      <a:cNvPr id="39" name="TextBox 79"/>
                      <a:cNvSpPr txBox="1"/>
                    </a:nvSpPr>
                    <a:spPr>
                      <a:xfrm>
                        <a:off x="3429000" y="5826323"/>
                        <a:ext cx="2983637"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t>Original cases that were not replaced</a:t>
                          </a:r>
                          <a:endParaRPr lang="en-US" sz="1400" dirty="0"/>
                        </a:p>
                      </a:txBody>
                      <a:useSpRect/>
                    </a:txSp>
                  </a:sp>
                  <a:sp>
                    <a:nvSpPr>
                      <a:cNvPr id="40" name="TextBox 80"/>
                      <a:cNvSpPr txBox="1"/>
                    </a:nvSpPr>
                    <a:spPr>
                      <a:xfrm>
                        <a:off x="3429000" y="6054923"/>
                        <a:ext cx="2678490"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t>Replacement </a:t>
                          </a:r>
                          <a:r>
                            <a:rPr lang="en-US" sz="1400" dirty="0" smtClean="0"/>
                            <a:t>counterfactual cases</a:t>
                          </a:r>
                          <a:endParaRPr lang="en-US" sz="1400" dirty="0"/>
                        </a:p>
                      </a:txBody>
                      <a:useSpRect/>
                    </a:txSp>
                  </a:sp>
                  <a:sp>
                    <a:nvSpPr>
                      <a:cNvPr id="41" name="Rectangle 40"/>
                      <a:cNvSpPr/>
                    </a:nvSpPr>
                    <a:spPr>
                      <a:xfrm flipV="1">
                        <a:off x="2895600" y="6393183"/>
                        <a:ext cx="304800" cy="121917"/>
                      </a:xfrm>
                      <a:prstGeom prst="rect">
                        <a:avLst/>
                      </a:prstGeom>
                      <a:noFill/>
                      <a:ln>
                        <a:solidFill>
                          <a:schemeClr val="tx1"/>
                        </a:solidFill>
                        <a:prstDash val="sysDash"/>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42" name="TextBox 82"/>
                      <a:cNvSpPr txBox="1"/>
                    </a:nvSpPr>
                    <a:spPr>
                      <a:xfrm>
                        <a:off x="3429000" y="6283523"/>
                        <a:ext cx="1687898"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t>Original  distribution</a:t>
                          </a:r>
                          <a:endParaRPr lang="en-US" sz="1400" dirty="0"/>
                        </a:p>
                      </a:txBody>
                      <a:useSpRect/>
                    </a:txSp>
                  </a:sp>
                  <a:sp>
                    <a:nvSpPr>
                      <a:cNvPr id="43" name="TextBox 84"/>
                      <a:cNvSpPr txBox="1"/>
                    </a:nvSpPr>
                    <a:spPr>
                      <a:xfrm>
                        <a:off x="1676400" y="5143500"/>
                        <a:ext cx="1016560"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a:t>R</a:t>
                          </a:r>
                          <a:r>
                            <a:rPr lang="en-US" dirty="0" smtClean="0"/>
                            <a:t>etained</a:t>
                          </a:r>
                          <a:endParaRPr lang="en-US" dirty="0"/>
                        </a:p>
                      </a:txBody>
                      <a:useSpRect/>
                    </a:txSp>
                  </a:sp>
                  <a:sp>
                    <a:nvSpPr>
                      <a:cNvPr id="44" name="TextBox 85"/>
                      <a:cNvSpPr txBox="1"/>
                    </a:nvSpPr>
                    <a:spPr>
                      <a:xfrm>
                        <a:off x="6477000" y="5143500"/>
                        <a:ext cx="1119409"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Promoted</a:t>
                          </a:r>
                          <a:endParaRPr lang="en-US" dirty="0"/>
                        </a:p>
                      </a:txBody>
                      <a:useSpRect/>
                    </a:txSp>
                  </a:sp>
                </lc:lockedCanvas>
              </a:graphicData>
            </a:graphic>
          </wp:inline>
        </w:drawing>
      </w:r>
    </w:p>
    <w:sectPr w:rsidR="00066FA2" w:rsidSect="0086743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2039" w:rsidRDefault="00F82039">
      <w:r>
        <w:separator/>
      </w:r>
    </w:p>
  </w:endnote>
  <w:endnote w:type="continuationSeparator" w:id="0">
    <w:p w:rsidR="00F82039" w:rsidRDefault="00F82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PMingLiU">
    <w:panose1 w:val="02020500000000000000"/>
    <w:charset w:val="88"/>
    <w:family w:val="roman"/>
    <w:pitch w:val="variable"/>
    <w:sig w:usb0="A00002FF" w:usb1="28CFFCFA" w:usb2="00000016" w:usb3="00000000" w:csb0="00100001" w:csb1="00000000"/>
  </w:font>
  <w:font w:name="+mn-ea">
    <w:panose1 w:val="00000000000000000000"/>
    <w:charset w:val="00"/>
    <w:family w:val="roman"/>
    <w:notTrueType/>
    <w:pitch w:val="default"/>
  </w:font>
  <w:font w:name="TimesNewRoman">
    <w:altName w:val="Cambria"/>
    <w:panose1 w:val="00000000000000000000"/>
    <w:charset w:val="4D"/>
    <w:family w:val="roman"/>
    <w:notTrueType/>
    <w:pitch w:val="default"/>
    <w:sig w:usb0="00000003" w:usb1="00000000" w:usb2="00000000" w:usb3="00000000" w:csb0="00000001" w:csb1="00000000"/>
  </w:font>
  <w:font w:name="???">
    <w:altName w:val="Arial Unicode MS"/>
    <w:panose1 w:val="00000000000000000000"/>
    <w:charset w:val="81"/>
    <w:family w:val="roman"/>
    <w:notTrueType/>
    <w:pitch w:val="fixed"/>
    <w:sig w:usb0="00000001" w:usb1="09060000" w:usb2="00000010" w:usb3="00000000" w:csb0="00080000"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091" w:rsidRDefault="00B65091" w:rsidP="00EE181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rsidR="00B65091" w:rsidRDefault="00B6509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091" w:rsidRDefault="00BF0E08">
    <w:pPr>
      <w:pStyle w:val="Footer"/>
      <w:jc w:val="right"/>
    </w:pPr>
    <w:r>
      <w:fldChar w:fldCharType="begin"/>
    </w:r>
    <w:r>
      <w:instrText xml:space="preserve"> PAGE   \* MERGEFORMAT </w:instrText>
    </w:r>
    <w:r>
      <w:fldChar w:fldCharType="separate"/>
    </w:r>
    <w:r>
      <w:rPr>
        <w:noProof/>
      </w:rPr>
      <w:t>2</w:t>
    </w:r>
    <w:r>
      <w:rPr>
        <w:noProof/>
      </w:rPr>
      <w:fldChar w:fldCharType="end"/>
    </w:r>
  </w:p>
  <w:p w:rsidR="00B65091" w:rsidRDefault="00B65091">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2039" w:rsidRDefault="00F82039">
      <w:r>
        <w:separator/>
      </w:r>
    </w:p>
  </w:footnote>
  <w:footnote w:type="continuationSeparator" w:id="0">
    <w:p w:rsidR="00F82039" w:rsidRDefault="00F820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091" w:rsidRPr="001B7203" w:rsidRDefault="00B65091" w:rsidP="001B7203">
    <w:pPr>
      <w:pStyle w:val="Header"/>
    </w:pPr>
    <w:r>
      <w:rPr>
        <w:lang w:eastAsia="zh-CN"/>
      </w:rPr>
      <w:tab/>
    </w:r>
    <w:r>
      <w:rPr>
        <w:lang w:eastAsia="zh-CN"/>
      </w:rPr>
      <w:tab/>
      <w:t>What would it take to Change an Inference?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091" w:rsidRDefault="00B65091">
    <w:pPr>
      <w:pStyle w:val="Header"/>
      <w:ind w:firstLine="0"/>
    </w:pPr>
    <w:r>
      <w:rPr>
        <w:lang w:eastAsia="zh-CN"/>
      </w:rPr>
      <w:t>Quantifying Discourse about Causal Inferences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E2B9C"/>
    <w:multiLevelType w:val="hybridMultilevel"/>
    <w:tmpl w:val="4C0A9C5C"/>
    <w:lvl w:ilvl="0" w:tplc="DAE298E4">
      <w:start w:val="1"/>
      <w:numFmt w:val="upperRoman"/>
      <w:lvlText w:val="%1."/>
      <w:lvlJc w:val="left"/>
      <w:pPr>
        <w:tabs>
          <w:tab w:val="num" w:pos="1635"/>
        </w:tabs>
        <w:ind w:left="1635" w:hanging="915"/>
      </w:pPr>
      <w:rPr>
        <w:rFonts w:cs="Times New Roman" w:hint="default"/>
      </w:rPr>
    </w:lvl>
    <w:lvl w:ilvl="1" w:tplc="CFB4DB12" w:tentative="1">
      <w:start w:val="1"/>
      <w:numFmt w:val="lowerLetter"/>
      <w:lvlText w:val="%2."/>
      <w:lvlJc w:val="left"/>
      <w:pPr>
        <w:tabs>
          <w:tab w:val="num" w:pos="1800"/>
        </w:tabs>
        <w:ind w:left="1800" w:hanging="360"/>
      </w:pPr>
      <w:rPr>
        <w:rFonts w:cs="Times New Roman"/>
      </w:rPr>
    </w:lvl>
    <w:lvl w:ilvl="2" w:tplc="C04CD3D0" w:tentative="1">
      <w:start w:val="1"/>
      <w:numFmt w:val="lowerRoman"/>
      <w:lvlText w:val="%3."/>
      <w:lvlJc w:val="right"/>
      <w:pPr>
        <w:tabs>
          <w:tab w:val="num" w:pos="2520"/>
        </w:tabs>
        <w:ind w:left="2520" w:hanging="180"/>
      </w:pPr>
      <w:rPr>
        <w:rFonts w:cs="Times New Roman"/>
      </w:rPr>
    </w:lvl>
    <w:lvl w:ilvl="3" w:tplc="4AA29C2C" w:tentative="1">
      <w:start w:val="1"/>
      <w:numFmt w:val="decimal"/>
      <w:lvlText w:val="%4."/>
      <w:lvlJc w:val="left"/>
      <w:pPr>
        <w:tabs>
          <w:tab w:val="num" w:pos="3240"/>
        </w:tabs>
        <w:ind w:left="3240" w:hanging="360"/>
      </w:pPr>
      <w:rPr>
        <w:rFonts w:cs="Times New Roman"/>
      </w:rPr>
    </w:lvl>
    <w:lvl w:ilvl="4" w:tplc="B7EEC100" w:tentative="1">
      <w:start w:val="1"/>
      <w:numFmt w:val="lowerLetter"/>
      <w:lvlText w:val="%5."/>
      <w:lvlJc w:val="left"/>
      <w:pPr>
        <w:tabs>
          <w:tab w:val="num" w:pos="3960"/>
        </w:tabs>
        <w:ind w:left="3960" w:hanging="360"/>
      </w:pPr>
      <w:rPr>
        <w:rFonts w:cs="Times New Roman"/>
      </w:rPr>
    </w:lvl>
    <w:lvl w:ilvl="5" w:tplc="9E0CD04E" w:tentative="1">
      <w:start w:val="1"/>
      <w:numFmt w:val="lowerRoman"/>
      <w:lvlText w:val="%6."/>
      <w:lvlJc w:val="right"/>
      <w:pPr>
        <w:tabs>
          <w:tab w:val="num" w:pos="4680"/>
        </w:tabs>
        <w:ind w:left="4680" w:hanging="180"/>
      </w:pPr>
      <w:rPr>
        <w:rFonts w:cs="Times New Roman"/>
      </w:rPr>
    </w:lvl>
    <w:lvl w:ilvl="6" w:tplc="D0DC162A" w:tentative="1">
      <w:start w:val="1"/>
      <w:numFmt w:val="decimal"/>
      <w:lvlText w:val="%7."/>
      <w:lvlJc w:val="left"/>
      <w:pPr>
        <w:tabs>
          <w:tab w:val="num" w:pos="5400"/>
        </w:tabs>
        <w:ind w:left="5400" w:hanging="360"/>
      </w:pPr>
      <w:rPr>
        <w:rFonts w:cs="Times New Roman"/>
      </w:rPr>
    </w:lvl>
    <w:lvl w:ilvl="7" w:tplc="D29C4556" w:tentative="1">
      <w:start w:val="1"/>
      <w:numFmt w:val="lowerLetter"/>
      <w:lvlText w:val="%8."/>
      <w:lvlJc w:val="left"/>
      <w:pPr>
        <w:tabs>
          <w:tab w:val="num" w:pos="6120"/>
        </w:tabs>
        <w:ind w:left="6120" w:hanging="360"/>
      </w:pPr>
      <w:rPr>
        <w:rFonts w:cs="Times New Roman"/>
      </w:rPr>
    </w:lvl>
    <w:lvl w:ilvl="8" w:tplc="788E5642" w:tentative="1">
      <w:start w:val="1"/>
      <w:numFmt w:val="lowerRoman"/>
      <w:lvlText w:val="%9."/>
      <w:lvlJc w:val="right"/>
      <w:pPr>
        <w:tabs>
          <w:tab w:val="num" w:pos="6840"/>
        </w:tabs>
        <w:ind w:left="6840" w:hanging="180"/>
      </w:pPr>
      <w:rPr>
        <w:rFonts w:cs="Times New Roman"/>
      </w:rPr>
    </w:lvl>
  </w:abstractNum>
  <w:abstractNum w:abstractNumId="1">
    <w:nsid w:val="0C8F6B56"/>
    <w:multiLevelType w:val="multilevel"/>
    <w:tmpl w:val="2FE4C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D71B5C"/>
    <w:multiLevelType w:val="multilevel"/>
    <w:tmpl w:val="95FC4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02A3501"/>
    <w:multiLevelType w:val="multilevel"/>
    <w:tmpl w:val="52DC5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C22F67"/>
    <w:multiLevelType w:val="hybridMultilevel"/>
    <w:tmpl w:val="90440F7C"/>
    <w:lvl w:ilvl="0" w:tplc="98FCA8AA">
      <w:start w:val="1"/>
      <w:numFmt w:val="decimal"/>
      <w:lvlText w:val="%1."/>
      <w:lvlJc w:val="left"/>
      <w:pPr>
        <w:tabs>
          <w:tab w:val="num" w:pos="720"/>
        </w:tabs>
        <w:ind w:left="720" w:hanging="360"/>
      </w:pPr>
      <w:rPr>
        <w:rFonts w:cs="Times New Roman" w:hint="default"/>
      </w:rPr>
    </w:lvl>
    <w:lvl w:ilvl="1" w:tplc="F0BCE0B2" w:tentative="1">
      <w:start w:val="1"/>
      <w:numFmt w:val="lowerLetter"/>
      <w:lvlText w:val="%2."/>
      <w:lvlJc w:val="left"/>
      <w:pPr>
        <w:tabs>
          <w:tab w:val="num" w:pos="1440"/>
        </w:tabs>
        <w:ind w:left="1440" w:hanging="360"/>
      </w:pPr>
      <w:rPr>
        <w:rFonts w:cs="Times New Roman"/>
      </w:rPr>
    </w:lvl>
    <w:lvl w:ilvl="2" w:tplc="C786DEC8" w:tentative="1">
      <w:start w:val="1"/>
      <w:numFmt w:val="lowerRoman"/>
      <w:lvlText w:val="%3."/>
      <w:lvlJc w:val="right"/>
      <w:pPr>
        <w:tabs>
          <w:tab w:val="num" w:pos="2160"/>
        </w:tabs>
        <w:ind w:left="2160" w:hanging="180"/>
      </w:pPr>
      <w:rPr>
        <w:rFonts w:cs="Times New Roman"/>
      </w:rPr>
    </w:lvl>
    <w:lvl w:ilvl="3" w:tplc="1876CE08" w:tentative="1">
      <w:start w:val="1"/>
      <w:numFmt w:val="decimal"/>
      <w:lvlText w:val="%4."/>
      <w:lvlJc w:val="left"/>
      <w:pPr>
        <w:tabs>
          <w:tab w:val="num" w:pos="2880"/>
        </w:tabs>
        <w:ind w:left="2880" w:hanging="360"/>
      </w:pPr>
      <w:rPr>
        <w:rFonts w:cs="Times New Roman"/>
      </w:rPr>
    </w:lvl>
    <w:lvl w:ilvl="4" w:tplc="84B8F9DA" w:tentative="1">
      <w:start w:val="1"/>
      <w:numFmt w:val="lowerLetter"/>
      <w:lvlText w:val="%5."/>
      <w:lvlJc w:val="left"/>
      <w:pPr>
        <w:tabs>
          <w:tab w:val="num" w:pos="3600"/>
        </w:tabs>
        <w:ind w:left="3600" w:hanging="360"/>
      </w:pPr>
      <w:rPr>
        <w:rFonts w:cs="Times New Roman"/>
      </w:rPr>
    </w:lvl>
    <w:lvl w:ilvl="5" w:tplc="E14240BE" w:tentative="1">
      <w:start w:val="1"/>
      <w:numFmt w:val="lowerRoman"/>
      <w:lvlText w:val="%6."/>
      <w:lvlJc w:val="right"/>
      <w:pPr>
        <w:tabs>
          <w:tab w:val="num" w:pos="4320"/>
        </w:tabs>
        <w:ind w:left="4320" w:hanging="180"/>
      </w:pPr>
      <w:rPr>
        <w:rFonts w:cs="Times New Roman"/>
      </w:rPr>
    </w:lvl>
    <w:lvl w:ilvl="6" w:tplc="089CA18A" w:tentative="1">
      <w:start w:val="1"/>
      <w:numFmt w:val="decimal"/>
      <w:lvlText w:val="%7."/>
      <w:lvlJc w:val="left"/>
      <w:pPr>
        <w:tabs>
          <w:tab w:val="num" w:pos="5040"/>
        </w:tabs>
        <w:ind w:left="5040" w:hanging="360"/>
      </w:pPr>
      <w:rPr>
        <w:rFonts w:cs="Times New Roman"/>
      </w:rPr>
    </w:lvl>
    <w:lvl w:ilvl="7" w:tplc="91DE981A" w:tentative="1">
      <w:start w:val="1"/>
      <w:numFmt w:val="lowerLetter"/>
      <w:lvlText w:val="%8."/>
      <w:lvlJc w:val="left"/>
      <w:pPr>
        <w:tabs>
          <w:tab w:val="num" w:pos="5760"/>
        </w:tabs>
        <w:ind w:left="5760" w:hanging="360"/>
      </w:pPr>
      <w:rPr>
        <w:rFonts w:cs="Times New Roman"/>
      </w:rPr>
    </w:lvl>
    <w:lvl w:ilvl="8" w:tplc="C7BCED7C" w:tentative="1">
      <w:start w:val="1"/>
      <w:numFmt w:val="lowerRoman"/>
      <w:lvlText w:val="%9."/>
      <w:lvlJc w:val="right"/>
      <w:pPr>
        <w:tabs>
          <w:tab w:val="num" w:pos="6480"/>
        </w:tabs>
        <w:ind w:left="6480" w:hanging="180"/>
      </w:pPr>
      <w:rPr>
        <w:rFonts w:cs="Times New Roman"/>
      </w:rPr>
    </w:lvl>
  </w:abstractNum>
  <w:abstractNum w:abstractNumId="5">
    <w:nsid w:val="253C2E36"/>
    <w:multiLevelType w:val="multilevel"/>
    <w:tmpl w:val="F5C07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8BA11E7"/>
    <w:multiLevelType w:val="multilevel"/>
    <w:tmpl w:val="110AE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B97022D"/>
    <w:multiLevelType w:val="hybridMultilevel"/>
    <w:tmpl w:val="27984AF4"/>
    <w:lvl w:ilvl="0" w:tplc="642C49D8">
      <w:start w:val="1977"/>
      <w:numFmt w:val="decimal"/>
      <w:lvlText w:val="%1"/>
      <w:lvlJc w:val="left"/>
      <w:pPr>
        <w:tabs>
          <w:tab w:val="num" w:pos="720"/>
        </w:tabs>
        <w:ind w:left="720" w:hanging="360"/>
      </w:pPr>
      <w:rPr>
        <w:rFonts w:cs="Times New Roman" w:hint="default"/>
      </w:rPr>
    </w:lvl>
    <w:lvl w:ilvl="1" w:tplc="6CB0174E" w:tentative="1">
      <w:start w:val="1"/>
      <w:numFmt w:val="lowerLetter"/>
      <w:lvlText w:val="%2."/>
      <w:lvlJc w:val="left"/>
      <w:pPr>
        <w:tabs>
          <w:tab w:val="num" w:pos="1440"/>
        </w:tabs>
        <w:ind w:left="1440" w:hanging="360"/>
      </w:pPr>
      <w:rPr>
        <w:rFonts w:cs="Times New Roman"/>
      </w:rPr>
    </w:lvl>
    <w:lvl w:ilvl="2" w:tplc="6CD20DDE" w:tentative="1">
      <w:start w:val="1"/>
      <w:numFmt w:val="lowerRoman"/>
      <w:lvlText w:val="%3."/>
      <w:lvlJc w:val="right"/>
      <w:pPr>
        <w:tabs>
          <w:tab w:val="num" w:pos="2160"/>
        </w:tabs>
        <w:ind w:left="2160" w:hanging="180"/>
      </w:pPr>
      <w:rPr>
        <w:rFonts w:cs="Times New Roman"/>
      </w:rPr>
    </w:lvl>
    <w:lvl w:ilvl="3" w:tplc="592A3848" w:tentative="1">
      <w:start w:val="1"/>
      <w:numFmt w:val="decimal"/>
      <w:lvlText w:val="%4."/>
      <w:lvlJc w:val="left"/>
      <w:pPr>
        <w:tabs>
          <w:tab w:val="num" w:pos="2880"/>
        </w:tabs>
        <w:ind w:left="2880" w:hanging="360"/>
      </w:pPr>
      <w:rPr>
        <w:rFonts w:cs="Times New Roman"/>
      </w:rPr>
    </w:lvl>
    <w:lvl w:ilvl="4" w:tplc="7E1C856C" w:tentative="1">
      <w:start w:val="1"/>
      <w:numFmt w:val="lowerLetter"/>
      <w:lvlText w:val="%5."/>
      <w:lvlJc w:val="left"/>
      <w:pPr>
        <w:tabs>
          <w:tab w:val="num" w:pos="3600"/>
        </w:tabs>
        <w:ind w:left="3600" w:hanging="360"/>
      </w:pPr>
      <w:rPr>
        <w:rFonts w:cs="Times New Roman"/>
      </w:rPr>
    </w:lvl>
    <w:lvl w:ilvl="5" w:tplc="F6025046" w:tentative="1">
      <w:start w:val="1"/>
      <w:numFmt w:val="lowerRoman"/>
      <w:lvlText w:val="%6."/>
      <w:lvlJc w:val="right"/>
      <w:pPr>
        <w:tabs>
          <w:tab w:val="num" w:pos="4320"/>
        </w:tabs>
        <w:ind w:left="4320" w:hanging="180"/>
      </w:pPr>
      <w:rPr>
        <w:rFonts w:cs="Times New Roman"/>
      </w:rPr>
    </w:lvl>
    <w:lvl w:ilvl="6" w:tplc="F3024DEC" w:tentative="1">
      <w:start w:val="1"/>
      <w:numFmt w:val="decimal"/>
      <w:lvlText w:val="%7."/>
      <w:lvlJc w:val="left"/>
      <w:pPr>
        <w:tabs>
          <w:tab w:val="num" w:pos="5040"/>
        </w:tabs>
        <w:ind w:left="5040" w:hanging="360"/>
      </w:pPr>
      <w:rPr>
        <w:rFonts w:cs="Times New Roman"/>
      </w:rPr>
    </w:lvl>
    <w:lvl w:ilvl="7" w:tplc="C7BCE996" w:tentative="1">
      <w:start w:val="1"/>
      <w:numFmt w:val="lowerLetter"/>
      <w:lvlText w:val="%8."/>
      <w:lvlJc w:val="left"/>
      <w:pPr>
        <w:tabs>
          <w:tab w:val="num" w:pos="5760"/>
        </w:tabs>
        <w:ind w:left="5760" w:hanging="360"/>
      </w:pPr>
      <w:rPr>
        <w:rFonts w:cs="Times New Roman"/>
      </w:rPr>
    </w:lvl>
    <w:lvl w:ilvl="8" w:tplc="C7243BC4" w:tentative="1">
      <w:start w:val="1"/>
      <w:numFmt w:val="lowerRoman"/>
      <w:lvlText w:val="%9."/>
      <w:lvlJc w:val="right"/>
      <w:pPr>
        <w:tabs>
          <w:tab w:val="num" w:pos="6480"/>
        </w:tabs>
        <w:ind w:left="6480" w:hanging="180"/>
      </w:pPr>
      <w:rPr>
        <w:rFonts w:cs="Times New Roman"/>
      </w:rPr>
    </w:lvl>
  </w:abstractNum>
  <w:abstractNum w:abstractNumId="8">
    <w:nsid w:val="36EA62BC"/>
    <w:multiLevelType w:val="hybridMultilevel"/>
    <w:tmpl w:val="BD82AD7E"/>
    <w:lvl w:ilvl="0" w:tplc="1D00E7A6">
      <w:start w:val="1"/>
      <w:numFmt w:val="decimal"/>
      <w:lvlText w:val="%1)"/>
      <w:lvlJc w:val="left"/>
      <w:pPr>
        <w:tabs>
          <w:tab w:val="num" w:pos="1695"/>
        </w:tabs>
        <w:ind w:left="1695" w:hanging="975"/>
      </w:pPr>
      <w:rPr>
        <w:rFonts w:cs="Times New Roman" w:hint="default"/>
      </w:rPr>
    </w:lvl>
    <w:lvl w:ilvl="1" w:tplc="5DCE33C0" w:tentative="1">
      <w:start w:val="1"/>
      <w:numFmt w:val="lowerLetter"/>
      <w:lvlText w:val="%2."/>
      <w:lvlJc w:val="left"/>
      <w:pPr>
        <w:tabs>
          <w:tab w:val="num" w:pos="1800"/>
        </w:tabs>
        <w:ind w:left="1800" w:hanging="360"/>
      </w:pPr>
      <w:rPr>
        <w:rFonts w:cs="Times New Roman"/>
      </w:rPr>
    </w:lvl>
    <w:lvl w:ilvl="2" w:tplc="A63E407A" w:tentative="1">
      <w:start w:val="1"/>
      <w:numFmt w:val="lowerRoman"/>
      <w:lvlText w:val="%3."/>
      <w:lvlJc w:val="right"/>
      <w:pPr>
        <w:tabs>
          <w:tab w:val="num" w:pos="2520"/>
        </w:tabs>
        <w:ind w:left="2520" w:hanging="180"/>
      </w:pPr>
      <w:rPr>
        <w:rFonts w:cs="Times New Roman"/>
      </w:rPr>
    </w:lvl>
    <w:lvl w:ilvl="3" w:tplc="04D6FCFA" w:tentative="1">
      <w:start w:val="1"/>
      <w:numFmt w:val="decimal"/>
      <w:lvlText w:val="%4."/>
      <w:lvlJc w:val="left"/>
      <w:pPr>
        <w:tabs>
          <w:tab w:val="num" w:pos="3240"/>
        </w:tabs>
        <w:ind w:left="3240" w:hanging="360"/>
      </w:pPr>
      <w:rPr>
        <w:rFonts w:cs="Times New Roman"/>
      </w:rPr>
    </w:lvl>
    <w:lvl w:ilvl="4" w:tplc="8F5C6914" w:tentative="1">
      <w:start w:val="1"/>
      <w:numFmt w:val="lowerLetter"/>
      <w:lvlText w:val="%5."/>
      <w:lvlJc w:val="left"/>
      <w:pPr>
        <w:tabs>
          <w:tab w:val="num" w:pos="3960"/>
        </w:tabs>
        <w:ind w:left="3960" w:hanging="360"/>
      </w:pPr>
      <w:rPr>
        <w:rFonts w:cs="Times New Roman"/>
      </w:rPr>
    </w:lvl>
    <w:lvl w:ilvl="5" w:tplc="93D01C68" w:tentative="1">
      <w:start w:val="1"/>
      <w:numFmt w:val="lowerRoman"/>
      <w:lvlText w:val="%6."/>
      <w:lvlJc w:val="right"/>
      <w:pPr>
        <w:tabs>
          <w:tab w:val="num" w:pos="4680"/>
        </w:tabs>
        <w:ind w:left="4680" w:hanging="180"/>
      </w:pPr>
      <w:rPr>
        <w:rFonts w:cs="Times New Roman"/>
      </w:rPr>
    </w:lvl>
    <w:lvl w:ilvl="6" w:tplc="39E44A6A" w:tentative="1">
      <w:start w:val="1"/>
      <w:numFmt w:val="decimal"/>
      <w:lvlText w:val="%7."/>
      <w:lvlJc w:val="left"/>
      <w:pPr>
        <w:tabs>
          <w:tab w:val="num" w:pos="5400"/>
        </w:tabs>
        <w:ind w:left="5400" w:hanging="360"/>
      </w:pPr>
      <w:rPr>
        <w:rFonts w:cs="Times New Roman"/>
      </w:rPr>
    </w:lvl>
    <w:lvl w:ilvl="7" w:tplc="2A625204" w:tentative="1">
      <w:start w:val="1"/>
      <w:numFmt w:val="lowerLetter"/>
      <w:lvlText w:val="%8."/>
      <w:lvlJc w:val="left"/>
      <w:pPr>
        <w:tabs>
          <w:tab w:val="num" w:pos="6120"/>
        </w:tabs>
        <w:ind w:left="6120" w:hanging="360"/>
      </w:pPr>
      <w:rPr>
        <w:rFonts w:cs="Times New Roman"/>
      </w:rPr>
    </w:lvl>
    <w:lvl w:ilvl="8" w:tplc="EBFCE044" w:tentative="1">
      <w:start w:val="1"/>
      <w:numFmt w:val="lowerRoman"/>
      <w:lvlText w:val="%9."/>
      <w:lvlJc w:val="right"/>
      <w:pPr>
        <w:tabs>
          <w:tab w:val="num" w:pos="6840"/>
        </w:tabs>
        <w:ind w:left="6840" w:hanging="180"/>
      </w:pPr>
      <w:rPr>
        <w:rFonts w:cs="Times New Roman"/>
      </w:rPr>
    </w:lvl>
  </w:abstractNum>
  <w:abstractNum w:abstractNumId="9">
    <w:nsid w:val="3950049E"/>
    <w:multiLevelType w:val="multilevel"/>
    <w:tmpl w:val="ABC8C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A6211F7"/>
    <w:multiLevelType w:val="multilevel"/>
    <w:tmpl w:val="A2D43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BA02C89"/>
    <w:multiLevelType w:val="hybridMultilevel"/>
    <w:tmpl w:val="3544DAAC"/>
    <w:lvl w:ilvl="0" w:tplc="23AA9E34">
      <w:start w:val="1"/>
      <w:numFmt w:val="decimal"/>
      <w:lvlText w:val="%1)"/>
      <w:lvlJc w:val="left"/>
      <w:pPr>
        <w:tabs>
          <w:tab w:val="num" w:pos="792"/>
        </w:tabs>
        <w:ind w:left="792" w:hanging="360"/>
      </w:pPr>
      <w:rPr>
        <w:rFonts w:cs="Times New Roman" w:hint="default"/>
      </w:rPr>
    </w:lvl>
    <w:lvl w:ilvl="1" w:tplc="D54AF562" w:tentative="1">
      <w:start w:val="1"/>
      <w:numFmt w:val="lowerLetter"/>
      <w:lvlText w:val="%2."/>
      <w:lvlJc w:val="left"/>
      <w:pPr>
        <w:tabs>
          <w:tab w:val="num" w:pos="1512"/>
        </w:tabs>
        <w:ind w:left="1512" w:hanging="360"/>
      </w:pPr>
      <w:rPr>
        <w:rFonts w:cs="Times New Roman"/>
      </w:rPr>
    </w:lvl>
    <w:lvl w:ilvl="2" w:tplc="6F3CE0AC" w:tentative="1">
      <w:start w:val="1"/>
      <w:numFmt w:val="lowerRoman"/>
      <w:lvlText w:val="%3."/>
      <w:lvlJc w:val="right"/>
      <w:pPr>
        <w:tabs>
          <w:tab w:val="num" w:pos="2232"/>
        </w:tabs>
        <w:ind w:left="2232" w:hanging="180"/>
      </w:pPr>
      <w:rPr>
        <w:rFonts w:cs="Times New Roman"/>
      </w:rPr>
    </w:lvl>
    <w:lvl w:ilvl="3" w:tplc="BA8AC9A0" w:tentative="1">
      <w:start w:val="1"/>
      <w:numFmt w:val="decimal"/>
      <w:lvlText w:val="%4."/>
      <w:lvlJc w:val="left"/>
      <w:pPr>
        <w:tabs>
          <w:tab w:val="num" w:pos="2952"/>
        </w:tabs>
        <w:ind w:left="2952" w:hanging="360"/>
      </w:pPr>
      <w:rPr>
        <w:rFonts w:cs="Times New Roman"/>
      </w:rPr>
    </w:lvl>
    <w:lvl w:ilvl="4" w:tplc="AB94DD1C" w:tentative="1">
      <w:start w:val="1"/>
      <w:numFmt w:val="lowerLetter"/>
      <w:lvlText w:val="%5."/>
      <w:lvlJc w:val="left"/>
      <w:pPr>
        <w:tabs>
          <w:tab w:val="num" w:pos="3672"/>
        </w:tabs>
        <w:ind w:left="3672" w:hanging="360"/>
      </w:pPr>
      <w:rPr>
        <w:rFonts w:cs="Times New Roman"/>
      </w:rPr>
    </w:lvl>
    <w:lvl w:ilvl="5" w:tplc="2C60EB06" w:tentative="1">
      <w:start w:val="1"/>
      <w:numFmt w:val="lowerRoman"/>
      <w:lvlText w:val="%6."/>
      <w:lvlJc w:val="right"/>
      <w:pPr>
        <w:tabs>
          <w:tab w:val="num" w:pos="4392"/>
        </w:tabs>
        <w:ind w:left="4392" w:hanging="180"/>
      </w:pPr>
      <w:rPr>
        <w:rFonts w:cs="Times New Roman"/>
      </w:rPr>
    </w:lvl>
    <w:lvl w:ilvl="6" w:tplc="CB5C40DC" w:tentative="1">
      <w:start w:val="1"/>
      <w:numFmt w:val="decimal"/>
      <w:lvlText w:val="%7."/>
      <w:lvlJc w:val="left"/>
      <w:pPr>
        <w:tabs>
          <w:tab w:val="num" w:pos="5112"/>
        </w:tabs>
        <w:ind w:left="5112" w:hanging="360"/>
      </w:pPr>
      <w:rPr>
        <w:rFonts w:cs="Times New Roman"/>
      </w:rPr>
    </w:lvl>
    <w:lvl w:ilvl="7" w:tplc="AF92EBFE" w:tentative="1">
      <w:start w:val="1"/>
      <w:numFmt w:val="lowerLetter"/>
      <w:lvlText w:val="%8."/>
      <w:lvlJc w:val="left"/>
      <w:pPr>
        <w:tabs>
          <w:tab w:val="num" w:pos="5832"/>
        </w:tabs>
        <w:ind w:left="5832" w:hanging="360"/>
      </w:pPr>
      <w:rPr>
        <w:rFonts w:cs="Times New Roman"/>
      </w:rPr>
    </w:lvl>
    <w:lvl w:ilvl="8" w:tplc="FE081E8C" w:tentative="1">
      <w:start w:val="1"/>
      <w:numFmt w:val="lowerRoman"/>
      <w:lvlText w:val="%9."/>
      <w:lvlJc w:val="right"/>
      <w:pPr>
        <w:tabs>
          <w:tab w:val="num" w:pos="6552"/>
        </w:tabs>
        <w:ind w:left="6552" w:hanging="180"/>
      </w:pPr>
      <w:rPr>
        <w:rFonts w:cs="Times New Roman"/>
      </w:rPr>
    </w:lvl>
  </w:abstractNum>
  <w:abstractNum w:abstractNumId="12">
    <w:nsid w:val="3CD9139E"/>
    <w:multiLevelType w:val="hybridMultilevel"/>
    <w:tmpl w:val="BD08566E"/>
    <w:lvl w:ilvl="0" w:tplc="3468F61E">
      <w:start w:val="1"/>
      <w:numFmt w:val="decimal"/>
      <w:lvlText w:val="%1)"/>
      <w:lvlJc w:val="left"/>
      <w:pPr>
        <w:tabs>
          <w:tab w:val="num" w:pos="1080"/>
        </w:tabs>
        <w:ind w:left="1080" w:hanging="360"/>
      </w:pPr>
      <w:rPr>
        <w:rFonts w:cs="Times New Roman" w:hint="default"/>
      </w:rPr>
    </w:lvl>
    <w:lvl w:ilvl="1" w:tplc="73643C4A" w:tentative="1">
      <w:start w:val="1"/>
      <w:numFmt w:val="lowerLetter"/>
      <w:lvlText w:val="%2."/>
      <w:lvlJc w:val="left"/>
      <w:pPr>
        <w:tabs>
          <w:tab w:val="num" w:pos="1800"/>
        </w:tabs>
        <w:ind w:left="1800" w:hanging="360"/>
      </w:pPr>
      <w:rPr>
        <w:rFonts w:cs="Times New Roman"/>
      </w:rPr>
    </w:lvl>
    <w:lvl w:ilvl="2" w:tplc="67EAD9F2" w:tentative="1">
      <w:start w:val="1"/>
      <w:numFmt w:val="lowerRoman"/>
      <w:lvlText w:val="%3."/>
      <w:lvlJc w:val="right"/>
      <w:pPr>
        <w:tabs>
          <w:tab w:val="num" w:pos="2520"/>
        </w:tabs>
        <w:ind w:left="2520" w:hanging="180"/>
      </w:pPr>
      <w:rPr>
        <w:rFonts w:cs="Times New Roman"/>
      </w:rPr>
    </w:lvl>
    <w:lvl w:ilvl="3" w:tplc="B76C2674" w:tentative="1">
      <w:start w:val="1"/>
      <w:numFmt w:val="decimal"/>
      <w:lvlText w:val="%4."/>
      <w:lvlJc w:val="left"/>
      <w:pPr>
        <w:tabs>
          <w:tab w:val="num" w:pos="3240"/>
        </w:tabs>
        <w:ind w:left="3240" w:hanging="360"/>
      </w:pPr>
      <w:rPr>
        <w:rFonts w:cs="Times New Roman"/>
      </w:rPr>
    </w:lvl>
    <w:lvl w:ilvl="4" w:tplc="AFDC1928" w:tentative="1">
      <w:start w:val="1"/>
      <w:numFmt w:val="lowerLetter"/>
      <w:lvlText w:val="%5."/>
      <w:lvlJc w:val="left"/>
      <w:pPr>
        <w:tabs>
          <w:tab w:val="num" w:pos="3960"/>
        </w:tabs>
        <w:ind w:left="3960" w:hanging="360"/>
      </w:pPr>
      <w:rPr>
        <w:rFonts w:cs="Times New Roman"/>
      </w:rPr>
    </w:lvl>
    <w:lvl w:ilvl="5" w:tplc="5914DBDA" w:tentative="1">
      <w:start w:val="1"/>
      <w:numFmt w:val="lowerRoman"/>
      <w:lvlText w:val="%6."/>
      <w:lvlJc w:val="right"/>
      <w:pPr>
        <w:tabs>
          <w:tab w:val="num" w:pos="4680"/>
        </w:tabs>
        <w:ind w:left="4680" w:hanging="180"/>
      </w:pPr>
      <w:rPr>
        <w:rFonts w:cs="Times New Roman"/>
      </w:rPr>
    </w:lvl>
    <w:lvl w:ilvl="6" w:tplc="B26C81F4" w:tentative="1">
      <w:start w:val="1"/>
      <w:numFmt w:val="decimal"/>
      <w:lvlText w:val="%7."/>
      <w:lvlJc w:val="left"/>
      <w:pPr>
        <w:tabs>
          <w:tab w:val="num" w:pos="5400"/>
        </w:tabs>
        <w:ind w:left="5400" w:hanging="360"/>
      </w:pPr>
      <w:rPr>
        <w:rFonts w:cs="Times New Roman"/>
      </w:rPr>
    </w:lvl>
    <w:lvl w:ilvl="7" w:tplc="0A360166" w:tentative="1">
      <w:start w:val="1"/>
      <w:numFmt w:val="lowerLetter"/>
      <w:lvlText w:val="%8."/>
      <w:lvlJc w:val="left"/>
      <w:pPr>
        <w:tabs>
          <w:tab w:val="num" w:pos="6120"/>
        </w:tabs>
        <w:ind w:left="6120" w:hanging="360"/>
      </w:pPr>
      <w:rPr>
        <w:rFonts w:cs="Times New Roman"/>
      </w:rPr>
    </w:lvl>
    <w:lvl w:ilvl="8" w:tplc="10C0DF34" w:tentative="1">
      <w:start w:val="1"/>
      <w:numFmt w:val="lowerRoman"/>
      <w:lvlText w:val="%9."/>
      <w:lvlJc w:val="right"/>
      <w:pPr>
        <w:tabs>
          <w:tab w:val="num" w:pos="6840"/>
        </w:tabs>
        <w:ind w:left="6840" w:hanging="180"/>
      </w:pPr>
      <w:rPr>
        <w:rFonts w:cs="Times New Roman"/>
      </w:rPr>
    </w:lvl>
  </w:abstractNum>
  <w:abstractNum w:abstractNumId="13">
    <w:nsid w:val="3DCE4456"/>
    <w:multiLevelType w:val="hybridMultilevel"/>
    <w:tmpl w:val="B3BE0A78"/>
    <w:lvl w:ilvl="0" w:tplc="5C5EFBB4">
      <w:start w:val="1"/>
      <w:numFmt w:val="bullet"/>
      <w:lvlText w:val="•"/>
      <w:lvlJc w:val="left"/>
      <w:pPr>
        <w:tabs>
          <w:tab w:val="num" w:pos="720"/>
        </w:tabs>
        <w:ind w:left="720" w:hanging="360"/>
      </w:pPr>
      <w:rPr>
        <w:rFonts w:ascii="Times New Roman" w:hAnsi="Times New Roman" w:hint="default"/>
      </w:rPr>
    </w:lvl>
    <w:lvl w:ilvl="1" w:tplc="B0E26550" w:tentative="1">
      <w:start w:val="1"/>
      <w:numFmt w:val="bullet"/>
      <w:lvlText w:val="•"/>
      <w:lvlJc w:val="left"/>
      <w:pPr>
        <w:tabs>
          <w:tab w:val="num" w:pos="1440"/>
        </w:tabs>
        <w:ind w:left="1440" w:hanging="360"/>
      </w:pPr>
      <w:rPr>
        <w:rFonts w:ascii="Times New Roman" w:hAnsi="Times New Roman" w:hint="default"/>
      </w:rPr>
    </w:lvl>
    <w:lvl w:ilvl="2" w:tplc="07349B8C" w:tentative="1">
      <w:start w:val="1"/>
      <w:numFmt w:val="bullet"/>
      <w:lvlText w:val="•"/>
      <w:lvlJc w:val="left"/>
      <w:pPr>
        <w:tabs>
          <w:tab w:val="num" w:pos="2160"/>
        </w:tabs>
        <w:ind w:left="2160" w:hanging="360"/>
      </w:pPr>
      <w:rPr>
        <w:rFonts w:ascii="Times New Roman" w:hAnsi="Times New Roman" w:hint="default"/>
      </w:rPr>
    </w:lvl>
    <w:lvl w:ilvl="3" w:tplc="E39A1A66" w:tentative="1">
      <w:start w:val="1"/>
      <w:numFmt w:val="bullet"/>
      <w:lvlText w:val="•"/>
      <w:lvlJc w:val="left"/>
      <w:pPr>
        <w:tabs>
          <w:tab w:val="num" w:pos="2880"/>
        </w:tabs>
        <w:ind w:left="2880" w:hanging="360"/>
      </w:pPr>
      <w:rPr>
        <w:rFonts w:ascii="Times New Roman" w:hAnsi="Times New Roman" w:hint="default"/>
      </w:rPr>
    </w:lvl>
    <w:lvl w:ilvl="4" w:tplc="FB66083E" w:tentative="1">
      <w:start w:val="1"/>
      <w:numFmt w:val="bullet"/>
      <w:lvlText w:val="•"/>
      <w:lvlJc w:val="left"/>
      <w:pPr>
        <w:tabs>
          <w:tab w:val="num" w:pos="3600"/>
        </w:tabs>
        <w:ind w:left="3600" w:hanging="360"/>
      </w:pPr>
      <w:rPr>
        <w:rFonts w:ascii="Times New Roman" w:hAnsi="Times New Roman" w:hint="default"/>
      </w:rPr>
    </w:lvl>
    <w:lvl w:ilvl="5" w:tplc="80220892" w:tentative="1">
      <w:start w:val="1"/>
      <w:numFmt w:val="bullet"/>
      <w:lvlText w:val="•"/>
      <w:lvlJc w:val="left"/>
      <w:pPr>
        <w:tabs>
          <w:tab w:val="num" w:pos="4320"/>
        </w:tabs>
        <w:ind w:left="4320" w:hanging="360"/>
      </w:pPr>
      <w:rPr>
        <w:rFonts w:ascii="Times New Roman" w:hAnsi="Times New Roman" w:hint="default"/>
      </w:rPr>
    </w:lvl>
    <w:lvl w:ilvl="6" w:tplc="3B664A74" w:tentative="1">
      <w:start w:val="1"/>
      <w:numFmt w:val="bullet"/>
      <w:lvlText w:val="•"/>
      <w:lvlJc w:val="left"/>
      <w:pPr>
        <w:tabs>
          <w:tab w:val="num" w:pos="5040"/>
        </w:tabs>
        <w:ind w:left="5040" w:hanging="360"/>
      </w:pPr>
      <w:rPr>
        <w:rFonts w:ascii="Times New Roman" w:hAnsi="Times New Roman" w:hint="default"/>
      </w:rPr>
    </w:lvl>
    <w:lvl w:ilvl="7" w:tplc="AEC4102A" w:tentative="1">
      <w:start w:val="1"/>
      <w:numFmt w:val="bullet"/>
      <w:lvlText w:val="•"/>
      <w:lvlJc w:val="left"/>
      <w:pPr>
        <w:tabs>
          <w:tab w:val="num" w:pos="5760"/>
        </w:tabs>
        <w:ind w:left="5760" w:hanging="360"/>
      </w:pPr>
      <w:rPr>
        <w:rFonts w:ascii="Times New Roman" w:hAnsi="Times New Roman" w:hint="default"/>
      </w:rPr>
    </w:lvl>
    <w:lvl w:ilvl="8" w:tplc="86DABE3A" w:tentative="1">
      <w:start w:val="1"/>
      <w:numFmt w:val="bullet"/>
      <w:lvlText w:val="•"/>
      <w:lvlJc w:val="left"/>
      <w:pPr>
        <w:tabs>
          <w:tab w:val="num" w:pos="6480"/>
        </w:tabs>
        <w:ind w:left="6480" w:hanging="360"/>
      </w:pPr>
      <w:rPr>
        <w:rFonts w:ascii="Times New Roman" w:hAnsi="Times New Roman" w:hint="default"/>
      </w:rPr>
    </w:lvl>
  </w:abstractNum>
  <w:abstractNum w:abstractNumId="14">
    <w:nsid w:val="471775B2"/>
    <w:multiLevelType w:val="hybridMultilevel"/>
    <w:tmpl w:val="E9807C30"/>
    <w:lvl w:ilvl="0" w:tplc="33885FCE">
      <w:start w:val="1"/>
      <w:numFmt w:val="decimal"/>
      <w:lvlText w:val="%1)"/>
      <w:lvlJc w:val="left"/>
      <w:pPr>
        <w:tabs>
          <w:tab w:val="num" w:pos="1080"/>
        </w:tabs>
        <w:ind w:left="1080" w:hanging="360"/>
      </w:pPr>
      <w:rPr>
        <w:rFonts w:cs="Times New Roman" w:hint="default"/>
      </w:rPr>
    </w:lvl>
    <w:lvl w:ilvl="1" w:tplc="D79E4656" w:tentative="1">
      <w:start w:val="1"/>
      <w:numFmt w:val="lowerLetter"/>
      <w:lvlText w:val="%2."/>
      <w:lvlJc w:val="left"/>
      <w:pPr>
        <w:tabs>
          <w:tab w:val="num" w:pos="1440"/>
        </w:tabs>
        <w:ind w:left="1440" w:hanging="360"/>
      </w:pPr>
      <w:rPr>
        <w:rFonts w:cs="Times New Roman"/>
      </w:rPr>
    </w:lvl>
    <w:lvl w:ilvl="2" w:tplc="E0409D6C" w:tentative="1">
      <w:start w:val="1"/>
      <w:numFmt w:val="lowerRoman"/>
      <w:lvlText w:val="%3."/>
      <w:lvlJc w:val="right"/>
      <w:pPr>
        <w:tabs>
          <w:tab w:val="num" w:pos="2160"/>
        </w:tabs>
        <w:ind w:left="2160" w:hanging="180"/>
      </w:pPr>
      <w:rPr>
        <w:rFonts w:cs="Times New Roman"/>
      </w:rPr>
    </w:lvl>
    <w:lvl w:ilvl="3" w:tplc="A906CF2C" w:tentative="1">
      <w:start w:val="1"/>
      <w:numFmt w:val="decimal"/>
      <w:lvlText w:val="%4."/>
      <w:lvlJc w:val="left"/>
      <w:pPr>
        <w:tabs>
          <w:tab w:val="num" w:pos="2880"/>
        </w:tabs>
        <w:ind w:left="2880" w:hanging="360"/>
      </w:pPr>
      <w:rPr>
        <w:rFonts w:cs="Times New Roman"/>
      </w:rPr>
    </w:lvl>
    <w:lvl w:ilvl="4" w:tplc="5BE60B08" w:tentative="1">
      <w:start w:val="1"/>
      <w:numFmt w:val="lowerLetter"/>
      <w:lvlText w:val="%5."/>
      <w:lvlJc w:val="left"/>
      <w:pPr>
        <w:tabs>
          <w:tab w:val="num" w:pos="3600"/>
        </w:tabs>
        <w:ind w:left="3600" w:hanging="360"/>
      </w:pPr>
      <w:rPr>
        <w:rFonts w:cs="Times New Roman"/>
      </w:rPr>
    </w:lvl>
    <w:lvl w:ilvl="5" w:tplc="985A21AC" w:tentative="1">
      <w:start w:val="1"/>
      <w:numFmt w:val="lowerRoman"/>
      <w:lvlText w:val="%6."/>
      <w:lvlJc w:val="right"/>
      <w:pPr>
        <w:tabs>
          <w:tab w:val="num" w:pos="4320"/>
        </w:tabs>
        <w:ind w:left="4320" w:hanging="180"/>
      </w:pPr>
      <w:rPr>
        <w:rFonts w:cs="Times New Roman"/>
      </w:rPr>
    </w:lvl>
    <w:lvl w:ilvl="6" w:tplc="19C28D5E" w:tentative="1">
      <w:start w:val="1"/>
      <w:numFmt w:val="decimal"/>
      <w:lvlText w:val="%7."/>
      <w:lvlJc w:val="left"/>
      <w:pPr>
        <w:tabs>
          <w:tab w:val="num" w:pos="5040"/>
        </w:tabs>
        <w:ind w:left="5040" w:hanging="360"/>
      </w:pPr>
      <w:rPr>
        <w:rFonts w:cs="Times New Roman"/>
      </w:rPr>
    </w:lvl>
    <w:lvl w:ilvl="7" w:tplc="DCA097A6" w:tentative="1">
      <w:start w:val="1"/>
      <w:numFmt w:val="lowerLetter"/>
      <w:lvlText w:val="%8."/>
      <w:lvlJc w:val="left"/>
      <w:pPr>
        <w:tabs>
          <w:tab w:val="num" w:pos="5760"/>
        </w:tabs>
        <w:ind w:left="5760" w:hanging="360"/>
      </w:pPr>
      <w:rPr>
        <w:rFonts w:cs="Times New Roman"/>
      </w:rPr>
    </w:lvl>
    <w:lvl w:ilvl="8" w:tplc="55807C46" w:tentative="1">
      <w:start w:val="1"/>
      <w:numFmt w:val="lowerRoman"/>
      <w:lvlText w:val="%9."/>
      <w:lvlJc w:val="right"/>
      <w:pPr>
        <w:tabs>
          <w:tab w:val="num" w:pos="6480"/>
        </w:tabs>
        <w:ind w:left="6480" w:hanging="180"/>
      </w:pPr>
      <w:rPr>
        <w:rFonts w:cs="Times New Roman"/>
      </w:rPr>
    </w:lvl>
  </w:abstractNum>
  <w:abstractNum w:abstractNumId="15">
    <w:nsid w:val="4B8D1CFB"/>
    <w:multiLevelType w:val="multilevel"/>
    <w:tmpl w:val="09041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14934B2"/>
    <w:multiLevelType w:val="hybridMultilevel"/>
    <w:tmpl w:val="E6C263EA"/>
    <w:lvl w:ilvl="0" w:tplc="2D4E7938">
      <w:start w:val="1"/>
      <w:numFmt w:val="decimal"/>
      <w:lvlText w:val="%1)"/>
      <w:lvlJc w:val="left"/>
      <w:pPr>
        <w:tabs>
          <w:tab w:val="num" w:pos="975"/>
        </w:tabs>
        <w:ind w:left="975" w:hanging="615"/>
      </w:pPr>
      <w:rPr>
        <w:rFonts w:cs="Times New Roman" w:hint="default"/>
      </w:rPr>
    </w:lvl>
    <w:lvl w:ilvl="1" w:tplc="BDB08AB2">
      <w:start w:val="1"/>
      <w:numFmt w:val="lowerLetter"/>
      <w:lvlText w:val="%2."/>
      <w:lvlJc w:val="left"/>
      <w:pPr>
        <w:tabs>
          <w:tab w:val="num" w:pos="1440"/>
        </w:tabs>
        <w:ind w:left="1440" w:hanging="360"/>
      </w:pPr>
      <w:rPr>
        <w:rFonts w:cs="Times New Roman"/>
      </w:rPr>
    </w:lvl>
    <w:lvl w:ilvl="2" w:tplc="3DE4A9B2">
      <w:start w:val="1"/>
      <w:numFmt w:val="lowerRoman"/>
      <w:lvlText w:val="%3."/>
      <w:lvlJc w:val="right"/>
      <w:pPr>
        <w:tabs>
          <w:tab w:val="num" w:pos="2160"/>
        </w:tabs>
        <w:ind w:left="2160" w:hanging="180"/>
      </w:pPr>
      <w:rPr>
        <w:rFonts w:cs="Times New Roman"/>
      </w:rPr>
    </w:lvl>
    <w:lvl w:ilvl="3" w:tplc="A18E4CDA" w:tentative="1">
      <w:start w:val="1"/>
      <w:numFmt w:val="decimal"/>
      <w:lvlText w:val="%4."/>
      <w:lvlJc w:val="left"/>
      <w:pPr>
        <w:tabs>
          <w:tab w:val="num" w:pos="2880"/>
        </w:tabs>
        <w:ind w:left="2880" w:hanging="360"/>
      </w:pPr>
      <w:rPr>
        <w:rFonts w:cs="Times New Roman"/>
      </w:rPr>
    </w:lvl>
    <w:lvl w:ilvl="4" w:tplc="9C0268B0" w:tentative="1">
      <w:start w:val="1"/>
      <w:numFmt w:val="lowerLetter"/>
      <w:lvlText w:val="%5."/>
      <w:lvlJc w:val="left"/>
      <w:pPr>
        <w:tabs>
          <w:tab w:val="num" w:pos="3600"/>
        </w:tabs>
        <w:ind w:left="3600" w:hanging="360"/>
      </w:pPr>
      <w:rPr>
        <w:rFonts w:cs="Times New Roman"/>
      </w:rPr>
    </w:lvl>
    <w:lvl w:ilvl="5" w:tplc="91B8A446" w:tentative="1">
      <w:start w:val="1"/>
      <w:numFmt w:val="lowerRoman"/>
      <w:lvlText w:val="%6."/>
      <w:lvlJc w:val="right"/>
      <w:pPr>
        <w:tabs>
          <w:tab w:val="num" w:pos="4320"/>
        </w:tabs>
        <w:ind w:left="4320" w:hanging="180"/>
      </w:pPr>
      <w:rPr>
        <w:rFonts w:cs="Times New Roman"/>
      </w:rPr>
    </w:lvl>
    <w:lvl w:ilvl="6" w:tplc="9CCE1A7E" w:tentative="1">
      <w:start w:val="1"/>
      <w:numFmt w:val="decimal"/>
      <w:lvlText w:val="%7."/>
      <w:lvlJc w:val="left"/>
      <w:pPr>
        <w:tabs>
          <w:tab w:val="num" w:pos="5040"/>
        </w:tabs>
        <w:ind w:left="5040" w:hanging="360"/>
      </w:pPr>
      <w:rPr>
        <w:rFonts w:cs="Times New Roman"/>
      </w:rPr>
    </w:lvl>
    <w:lvl w:ilvl="7" w:tplc="9244A7A2" w:tentative="1">
      <w:start w:val="1"/>
      <w:numFmt w:val="lowerLetter"/>
      <w:lvlText w:val="%8."/>
      <w:lvlJc w:val="left"/>
      <w:pPr>
        <w:tabs>
          <w:tab w:val="num" w:pos="5760"/>
        </w:tabs>
        <w:ind w:left="5760" w:hanging="360"/>
      </w:pPr>
      <w:rPr>
        <w:rFonts w:cs="Times New Roman"/>
      </w:rPr>
    </w:lvl>
    <w:lvl w:ilvl="8" w:tplc="80FA62A0" w:tentative="1">
      <w:start w:val="1"/>
      <w:numFmt w:val="lowerRoman"/>
      <w:lvlText w:val="%9."/>
      <w:lvlJc w:val="right"/>
      <w:pPr>
        <w:tabs>
          <w:tab w:val="num" w:pos="6480"/>
        </w:tabs>
        <w:ind w:left="6480" w:hanging="180"/>
      </w:pPr>
      <w:rPr>
        <w:rFonts w:cs="Times New Roman"/>
      </w:rPr>
    </w:lvl>
  </w:abstractNum>
  <w:abstractNum w:abstractNumId="17">
    <w:nsid w:val="570242BC"/>
    <w:multiLevelType w:val="multilevel"/>
    <w:tmpl w:val="D6BA16E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66DE224D"/>
    <w:multiLevelType w:val="hybridMultilevel"/>
    <w:tmpl w:val="17F0C726"/>
    <w:lvl w:ilvl="0" w:tplc="12325B30">
      <w:start w:val="1"/>
      <w:numFmt w:val="decimal"/>
      <w:lvlText w:val="%1)"/>
      <w:lvlJc w:val="left"/>
      <w:pPr>
        <w:tabs>
          <w:tab w:val="num" w:pos="1680"/>
        </w:tabs>
        <w:ind w:left="1680" w:hanging="960"/>
      </w:pPr>
      <w:rPr>
        <w:rFonts w:cs="Times New Roman" w:hint="default"/>
      </w:rPr>
    </w:lvl>
    <w:lvl w:ilvl="1" w:tplc="CA68B190" w:tentative="1">
      <w:start w:val="1"/>
      <w:numFmt w:val="lowerLetter"/>
      <w:lvlText w:val="%2."/>
      <w:lvlJc w:val="left"/>
      <w:pPr>
        <w:tabs>
          <w:tab w:val="num" w:pos="1800"/>
        </w:tabs>
        <w:ind w:left="1800" w:hanging="360"/>
      </w:pPr>
      <w:rPr>
        <w:rFonts w:cs="Times New Roman"/>
      </w:rPr>
    </w:lvl>
    <w:lvl w:ilvl="2" w:tplc="57EC72C6" w:tentative="1">
      <w:start w:val="1"/>
      <w:numFmt w:val="lowerRoman"/>
      <w:lvlText w:val="%3."/>
      <w:lvlJc w:val="right"/>
      <w:pPr>
        <w:tabs>
          <w:tab w:val="num" w:pos="2520"/>
        </w:tabs>
        <w:ind w:left="2520" w:hanging="180"/>
      </w:pPr>
      <w:rPr>
        <w:rFonts w:cs="Times New Roman"/>
      </w:rPr>
    </w:lvl>
    <w:lvl w:ilvl="3" w:tplc="9BE87DFC" w:tentative="1">
      <w:start w:val="1"/>
      <w:numFmt w:val="decimal"/>
      <w:lvlText w:val="%4."/>
      <w:lvlJc w:val="left"/>
      <w:pPr>
        <w:tabs>
          <w:tab w:val="num" w:pos="3240"/>
        </w:tabs>
        <w:ind w:left="3240" w:hanging="360"/>
      </w:pPr>
      <w:rPr>
        <w:rFonts w:cs="Times New Roman"/>
      </w:rPr>
    </w:lvl>
    <w:lvl w:ilvl="4" w:tplc="B74A37C8" w:tentative="1">
      <w:start w:val="1"/>
      <w:numFmt w:val="lowerLetter"/>
      <w:lvlText w:val="%5."/>
      <w:lvlJc w:val="left"/>
      <w:pPr>
        <w:tabs>
          <w:tab w:val="num" w:pos="3960"/>
        </w:tabs>
        <w:ind w:left="3960" w:hanging="360"/>
      </w:pPr>
      <w:rPr>
        <w:rFonts w:cs="Times New Roman"/>
      </w:rPr>
    </w:lvl>
    <w:lvl w:ilvl="5" w:tplc="5CBE6F5A" w:tentative="1">
      <w:start w:val="1"/>
      <w:numFmt w:val="lowerRoman"/>
      <w:lvlText w:val="%6."/>
      <w:lvlJc w:val="right"/>
      <w:pPr>
        <w:tabs>
          <w:tab w:val="num" w:pos="4680"/>
        </w:tabs>
        <w:ind w:left="4680" w:hanging="180"/>
      </w:pPr>
      <w:rPr>
        <w:rFonts w:cs="Times New Roman"/>
      </w:rPr>
    </w:lvl>
    <w:lvl w:ilvl="6" w:tplc="359054E4" w:tentative="1">
      <w:start w:val="1"/>
      <w:numFmt w:val="decimal"/>
      <w:lvlText w:val="%7."/>
      <w:lvlJc w:val="left"/>
      <w:pPr>
        <w:tabs>
          <w:tab w:val="num" w:pos="5400"/>
        </w:tabs>
        <w:ind w:left="5400" w:hanging="360"/>
      </w:pPr>
      <w:rPr>
        <w:rFonts w:cs="Times New Roman"/>
      </w:rPr>
    </w:lvl>
    <w:lvl w:ilvl="7" w:tplc="1C845086" w:tentative="1">
      <w:start w:val="1"/>
      <w:numFmt w:val="lowerLetter"/>
      <w:lvlText w:val="%8."/>
      <w:lvlJc w:val="left"/>
      <w:pPr>
        <w:tabs>
          <w:tab w:val="num" w:pos="6120"/>
        </w:tabs>
        <w:ind w:left="6120" w:hanging="360"/>
      </w:pPr>
      <w:rPr>
        <w:rFonts w:cs="Times New Roman"/>
      </w:rPr>
    </w:lvl>
    <w:lvl w:ilvl="8" w:tplc="8444949E" w:tentative="1">
      <w:start w:val="1"/>
      <w:numFmt w:val="lowerRoman"/>
      <w:lvlText w:val="%9."/>
      <w:lvlJc w:val="right"/>
      <w:pPr>
        <w:tabs>
          <w:tab w:val="num" w:pos="6840"/>
        </w:tabs>
        <w:ind w:left="6840" w:hanging="180"/>
      </w:pPr>
      <w:rPr>
        <w:rFonts w:cs="Times New Roman"/>
      </w:rPr>
    </w:lvl>
  </w:abstractNum>
  <w:abstractNum w:abstractNumId="19">
    <w:nsid w:val="6DD6721F"/>
    <w:multiLevelType w:val="hybridMultilevel"/>
    <w:tmpl w:val="46B2A2FC"/>
    <w:lvl w:ilvl="0" w:tplc="04090011">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77C17883"/>
    <w:multiLevelType w:val="multilevel"/>
    <w:tmpl w:val="F9D89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9A624A4"/>
    <w:multiLevelType w:val="hybridMultilevel"/>
    <w:tmpl w:val="66E84796"/>
    <w:lvl w:ilvl="0" w:tplc="097AF6B2">
      <w:start w:val="1"/>
      <w:numFmt w:val="decimal"/>
      <w:lvlText w:val="%1)"/>
      <w:lvlJc w:val="left"/>
      <w:pPr>
        <w:tabs>
          <w:tab w:val="num" w:pos="975"/>
        </w:tabs>
        <w:ind w:left="975" w:hanging="615"/>
      </w:pPr>
      <w:rPr>
        <w:rFonts w:cs="Times New Roman" w:hint="default"/>
      </w:rPr>
    </w:lvl>
    <w:lvl w:ilvl="1" w:tplc="B3FECEE6">
      <w:start w:val="1"/>
      <w:numFmt w:val="lowerLetter"/>
      <w:lvlText w:val="%2."/>
      <w:lvlJc w:val="left"/>
      <w:pPr>
        <w:tabs>
          <w:tab w:val="num" w:pos="1440"/>
        </w:tabs>
        <w:ind w:left="1440" w:hanging="360"/>
      </w:pPr>
      <w:rPr>
        <w:rFonts w:cs="Times New Roman"/>
      </w:rPr>
    </w:lvl>
    <w:lvl w:ilvl="2" w:tplc="F64C7E8A" w:tentative="1">
      <w:start w:val="1"/>
      <w:numFmt w:val="lowerRoman"/>
      <w:lvlText w:val="%3."/>
      <w:lvlJc w:val="right"/>
      <w:pPr>
        <w:tabs>
          <w:tab w:val="num" w:pos="2160"/>
        </w:tabs>
        <w:ind w:left="2160" w:hanging="180"/>
      </w:pPr>
      <w:rPr>
        <w:rFonts w:cs="Times New Roman"/>
      </w:rPr>
    </w:lvl>
    <w:lvl w:ilvl="3" w:tplc="F312A284" w:tentative="1">
      <w:start w:val="1"/>
      <w:numFmt w:val="decimal"/>
      <w:lvlText w:val="%4."/>
      <w:lvlJc w:val="left"/>
      <w:pPr>
        <w:tabs>
          <w:tab w:val="num" w:pos="2880"/>
        </w:tabs>
        <w:ind w:left="2880" w:hanging="360"/>
      </w:pPr>
      <w:rPr>
        <w:rFonts w:cs="Times New Roman"/>
      </w:rPr>
    </w:lvl>
    <w:lvl w:ilvl="4" w:tplc="174AF702" w:tentative="1">
      <w:start w:val="1"/>
      <w:numFmt w:val="lowerLetter"/>
      <w:lvlText w:val="%5."/>
      <w:lvlJc w:val="left"/>
      <w:pPr>
        <w:tabs>
          <w:tab w:val="num" w:pos="3600"/>
        </w:tabs>
        <w:ind w:left="3600" w:hanging="360"/>
      </w:pPr>
      <w:rPr>
        <w:rFonts w:cs="Times New Roman"/>
      </w:rPr>
    </w:lvl>
    <w:lvl w:ilvl="5" w:tplc="BACCA5B0" w:tentative="1">
      <w:start w:val="1"/>
      <w:numFmt w:val="lowerRoman"/>
      <w:lvlText w:val="%6."/>
      <w:lvlJc w:val="right"/>
      <w:pPr>
        <w:tabs>
          <w:tab w:val="num" w:pos="4320"/>
        </w:tabs>
        <w:ind w:left="4320" w:hanging="180"/>
      </w:pPr>
      <w:rPr>
        <w:rFonts w:cs="Times New Roman"/>
      </w:rPr>
    </w:lvl>
    <w:lvl w:ilvl="6" w:tplc="052CAD40" w:tentative="1">
      <w:start w:val="1"/>
      <w:numFmt w:val="decimal"/>
      <w:lvlText w:val="%7."/>
      <w:lvlJc w:val="left"/>
      <w:pPr>
        <w:tabs>
          <w:tab w:val="num" w:pos="5040"/>
        </w:tabs>
        <w:ind w:left="5040" w:hanging="360"/>
      </w:pPr>
      <w:rPr>
        <w:rFonts w:cs="Times New Roman"/>
      </w:rPr>
    </w:lvl>
    <w:lvl w:ilvl="7" w:tplc="F120113C" w:tentative="1">
      <w:start w:val="1"/>
      <w:numFmt w:val="lowerLetter"/>
      <w:lvlText w:val="%8."/>
      <w:lvlJc w:val="left"/>
      <w:pPr>
        <w:tabs>
          <w:tab w:val="num" w:pos="5760"/>
        </w:tabs>
        <w:ind w:left="5760" w:hanging="360"/>
      </w:pPr>
      <w:rPr>
        <w:rFonts w:cs="Times New Roman"/>
      </w:rPr>
    </w:lvl>
    <w:lvl w:ilvl="8" w:tplc="A53A0DCC" w:tentative="1">
      <w:start w:val="1"/>
      <w:numFmt w:val="lowerRoman"/>
      <w:lvlText w:val="%9."/>
      <w:lvlJc w:val="right"/>
      <w:pPr>
        <w:tabs>
          <w:tab w:val="num" w:pos="6480"/>
        </w:tabs>
        <w:ind w:left="6480" w:hanging="180"/>
      </w:pPr>
      <w:rPr>
        <w:rFonts w:cs="Times New Roman"/>
      </w:rPr>
    </w:lvl>
  </w:abstractNum>
  <w:abstractNum w:abstractNumId="22">
    <w:nsid w:val="7C5F286E"/>
    <w:multiLevelType w:val="multilevel"/>
    <w:tmpl w:val="86B2F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E892B7B"/>
    <w:multiLevelType w:val="hybridMultilevel"/>
    <w:tmpl w:val="7374A186"/>
    <w:lvl w:ilvl="0" w:tplc="9C2CBF16">
      <w:start w:val="1"/>
      <w:numFmt w:val="decimal"/>
      <w:lvlText w:val="%1)"/>
      <w:lvlJc w:val="left"/>
      <w:pPr>
        <w:tabs>
          <w:tab w:val="num" w:pos="720"/>
        </w:tabs>
        <w:ind w:left="720" w:hanging="360"/>
      </w:pPr>
      <w:rPr>
        <w:rFonts w:cs="Times New Roman" w:hint="default"/>
      </w:rPr>
    </w:lvl>
    <w:lvl w:ilvl="1" w:tplc="2A323E96" w:tentative="1">
      <w:start w:val="1"/>
      <w:numFmt w:val="lowerLetter"/>
      <w:lvlText w:val="%2."/>
      <w:lvlJc w:val="left"/>
      <w:pPr>
        <w:tabs>
          <w:tab w:val="num" w:pos="1440"/>
        </w:tabs>
        <w:ind w:left="1440" w:hanging="360"/>
      </w:pPr>
      <w:rPr>
        <w:rFonts w:cs="Times New Roman"/>
      </w:rPr>
    </w:lvl>
    <w:lvl w:ilvl="2" w:tplc="615A285C" w:tentative="1">
      <w:start w:val="1"/>
      <w:numFmt w:val="lowerRoman"/>
      <w:lvlText w:val="%3."/>
      <w:lvlJc w:val="right"/>
      <w:pPr>
        <w:tabs>
          <w:tab w:val="num" w:pos="2160"/>
        </w:tabs>
        <w:ind w:left="2160" w:hanging="180"/>
      </w:pPr>
      <w:rPr>
        <w:rFonts w:cs="Times New Roman"/>
      </w:rPr>
    </w:lvl>
    <w:lvl w:ilvl="3" w:tplc="BE9AC664" w:tentative="1">
      <w:start w:val="1"/>
      <w:numFmt w:val="decimal"/>
      <w:lvlText w:val="%4."/>
      <w:lvlJc w:val="left"/>
      <w:pPr>
        <w:tabs>
          <w:tab w:val="num" w:pos="2880"/>
        </w:tabs>
        <w:ind w:left="2880" w:hanging="360"/>
      </w:pPr>
      <w:rPr>
        <w:rFonts w:cs="Times New Roman"/>
      </w:rPr>
    </w:lvl>
    <w:lvl w:ilvl="4" w:tplc="7B3AFB4C" w:tentative="1">
      <w:start w:val="1"/>
      <w:numFmt w:val="lowerLetter"/>
      <w:lvlText w:val="%5."/>
      <w:lvlJc w:val="left"/>
      <w:pPr>
        <w:tabs>
          <w:tab w:val="num" w:pos="3600"/>
        </w:tabs>
        <w:ind w:left="3600" w:hanging="360"/>
      </w:pPr>
      <w:rPr>
        <w:rFonts w:cs="Times New Roman"/>
      </w:rPr>
    </w:lvl>
    <w:lvl w:ilvl="5" w:tplc="1AD48884" w:tentative="1">
      <w:start w:val="1"/>
      <w:numFmt w:val="lowerRoman"/>
      <w:lvlText w:val="%6."/>
      <w:lvlJc w:val="right"/>
      <w:pPr>
        <w:tabs>
          <w:tab w:val="num" w:pos="4320"/>
        </w:tabs>
        <w:ind w:left="4320" w:hanging="180"/>
      </w:pPr>
      <w:rPr>
        <w:rFonts w:cs="Times New Roman"/>
      </w:rPr>
    </w:lvl>
    <w:lvl w:ilvl="6" w:tplc="B75E24B2" w:tentative="1">
      <w:start w:val="1"/>
      <w:numFmt w:val="decimal"/>
      <w:lvlText w:val="%7."/>
      <w:lvlJc w:val="left"/>
      <w:pPr>
        <w:tabs>
          <w:tab w:val="num" w:pos="5040"/>
        </w:tabs>
        <w:ind w:left="5040" w:hanging="360"/>
      </w:pPr>
      <w:rPr>
        <w:rFonts w:cs="Times New Roman"/>
      </w:rPr>
    </w:lvl>
    <w:lvl w:ilvl="7" w:tplc="1B526E62" w:tentative="1">
      <w:start w:val="1"/>
      <w:numFmt w:val="lowerLetter"/>
      <w:lvlText w:val="%8."/>
      <w:lvlJc w:val="left"/>
      <w:pPr>
        <w:tabs>
          <w:tab w:val="num" w:pos="5760"/>
        </w:tabs>
        <w:ind w:left="5760" w:hanging="360"/>
      </w:pPr>
      <w:rPr>
        <w:rFonts w:cs="Times New Roman"/>
      </w:rPr>
    </w:lvl>
    <w:lvl w:ilvl="8" w:tplc="1CB48E64" w:tentative="1">
      <w:start w:val="1"/>
      <w:numFmt w:val="lowerRoman"/>
      <w:lvlText w:val="%9."/>
      <w:lvlJc w:val="right"/>
      <w:pPr>
        <w:tabs>
          <w:tab w:val="num" w:pos="6480"/>
        </w:tabs>
        <w:ind w:left="6480" w:hanging="180"/>
      </w:pPr>
      <w:rPr>
        <w:rFonts w:cs="Times New Roman"/>
      </w:rPr>
    </w:lvl>
  </w:abstractNum>
  <w:num w:numId="1">
    <w:abstractNumId w:val="21"/>
  </w:num>
  <w:num w:numId="2">
    <w:abstractNumId w:val="16"/>
  </w:num>
  <w:num w:numId="3">
    <w:abstractNumId w:val="23"/>
  </w:num>
  <w:num w:numId="4">
    <w:abstractNumId w:val="4"/>
  </w:num>
  <w:num w:numId="5">
    <w:abstractNumId w:val="13"/>
  </w:num>
  <w:num w:numId="6">
    <w:abstractNumId w:val="11"/>
  </w:num>
  <w:num w:numId="7">
    <w:abstractNumId w:val="2"/>
  </w:num>
  <w:num w:numId="8">
    <w:abstractNumId w:val="10"/>
  </w:num>
  <w:num w:numId="9">
    <w:abstractNumId w:val="3"/>
  </w:num>
  <w:num w:numId="10">
    <w:abstractNumId w:val="9"/>
  </w:num>
  <w:num w:numId="11">
    <w:abstractNumId w:val="8"/>
  </w:num>
  <w:num w:numId="12">
    <w:abstractNumId w:val="7"/>
  </w:num>
  <w:num w:numId="13">
    <w:abstractNumId w:val="18"/>
  </w:num>
  <w:num w:numId="14">
    <w:abstractNumId w:val="12"/>
  </w:num>
  <w:num w:numId="15">
    <w:abstractNumId w:val="14"/>
  </w:num>
  <w:num w:numId="16">
    <w:abstractNumId w:val="0"/>
  </w:num>
  <w:num w:numId="17">
    <w:abstractNumId w:val="17"/>
  </w:num>
  <w:num w:numId="18">
    <w:abstractNumId w:val="19"/>
  </w:num>
  <w:num w:numId="19">
    <w:abstractNumId w:val="1"/>
  </w:num>
  <w:num w:numId="20">
    <w:abstractNumId w:val="20"/>
  </w:num>
  <w:num w:numId="21">
    <w:abstractNumId w:val="22"/>
  </w:num>
  <w:num w:numId="22">
    <w:abstractNumId w:val="6"/>
  </w:num>
  <w:num w:numId="23">
    <w:abstractNumId w:val="15"/>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1B0D90"/>
    <w:rsid w:val="0000057E"/>
    <w:rsid w:val="00002E85"/>
    <w:rsid w:val="00003298"/>
    <w:rsid w:val="00004094"/>
    <w:rsid w:val="00007E8E"/>
    <w:rsid w:val="000110ED"/>
    <w:rsid w:val="00011758"/>
    <w:rsid w:val="00013AC2"/>
    <w:rsid w:val="00015A81"/>
    <w:rsid w:val="00016879"/>
    <w:rsid w:val="00017683"/>
    <w:rsid w:val="000178E2"/>
    <w:rsid w:val="0002099F"/>
    <w:rsid w:val="0002535A"/>
    <w:rsid w:val="00030699"/>
    <w:rsid w:val="00031394"/>
    <w:rsid w:val="00031985"/>
    <w:rsid w:val="00031F73"/>
    <w:rsid w:val="00040819"/>
    <w:rsid w:val="00040A5D"/>
    <w:rsid w:val="00040F68"/>
    <w:rsid w:val="00041066"/>
    <w:rsid w:val="00042C16"/>
    <w:rsid w:val="0004436B"/>
    <w:rsid w:val="00044D68"/>
    <w:rsid w:val="000459D6"/>
    <w:rsid w:val="00045E00"/>
    <w:rsid w:val="00046B13"/>
    <w:rsid w:val="00052352"/>
    <w:rsid w:val="000543DA"/>
    <w:rsid w:val="0005637F"/>
    <w:rsid w:val="00056D79"/>
    <w:rsid w:val="0006041C"/>
    <w:rsid w:val="00061729"/>
    <w:rsid w:val="0006497E"/>
    <w:rsid w:val="000655E5"/>
    <w:rsid w:val="00065EC0"/>
    <w:rsid w:val="00066FA2"/>
    <w:rsid w:val="00067522"/>
    <w:rsid w:val="000706DB"/>
    <w:rsid w:val="00070BB3"/>
    <w:rsid w:val="00071E33"/>
    <w:rsid w:val="00073B3F"/>
    <w:rsid w:val="00073B98"/>
    <w:rsid w:val="00073F21"/>
    <w:rsid w:val="00075828"/>
    <w:rsid w:val="00075C5B"/>
    <w:rsid w:val="00080988"/>
    <w:rsid w:val="00080AB2"/>
    <w:rsid w:val="0008219D"/>
    <w:rsid w:val="00082B02"/>
    <w:rsid w:val="00084D0E"/>
    <w:rsid w:val="00085ADF"/>
    <w:rsid w:val="000876A3"/>
    <w:rsid w:val="00091965"/>
    <w:rsid w:val="00091F2F"/>
    <w:rsid w:val="0009307B"/>
    <w:rsid w:val="00094E59"/>
    <w:rsid w:val="00096505"/>
    <w:rsid w:val="00096A70"/>
    <w:rsid w:val="00097A89"/>
    <w:rsid w:val="000A14B1"/>
    <w:rsid w:val="000A4BD8"/>
    <w:rsid w:val="000A6C9C"/>
    <w:rsid w:val="000B09A4"/>
    <w:rsid w:val="000B67CB"/>
    <w:rsid w:val="000B6DAB"/>
    <w:rsid w:val="000B7B8D"/>
    <w:rsid w:val="000C0330"/>
    <w:rsid w:val="000C2500"/>
    <w:rsid w:val="000C2FB2"/>
    <w:rsid w:val="000C3188"/>
    <w:rsid w:val="000C5C3B"/>
    <w:rsid w:val="000C6D0E"/>
    <w:rsid w:val="000C7A21"/>
    <w:rsid w:val="000C7BB5"/>
    <w:rsid w:val="000C7F81"/>
    <w:rsid w:val="000D09B3"/>
    <w:rsid w:val="000D349C"/>
    <w:rsid w:val="000D438D"/>
    <w:rsid w:val="000D52B9"/>
    <w:rsid w:val="000D69F8"/>
    <w:rsid w:val="000E1018"/>
    <w:rsid w:val="000E2BC4"/>
    <w:rsid w:val="000E3889"/>
    <w:rsid w:val="000E44BA"/>
    <w:rsid w:val="000E6E33"/>
    <w:rsid w:val="000E6F1E"/>
    <w:rsid w:val="000F12E1"/>
    <w:rsid w:val="000F1D89"/>
    <w:rsid w:val="000F281F"/>
    <w:rsid w:val="000F351D"/>
    <w:rsid w:val="000F3E2D"/>
    <w:rsid w:val="000F4332"/>
    <w:rsid w:val="000F4C6B"/>
    <w:rsid w:val="000F529C"/>
    <w:rsid w:val="000F726C"/>
    <w:rsid w:val="000F7E81"/>
    <w:rsid w:val="00100F9F"/>
    <w:rsid w:val="00107429"/>
    <w:rsid w:val="001148F5"/>
    <w:rsid w:val="00114B26"/>
    <w:rsid w:val="00116518"/>
    <w:rsid w:val="00120A9E"/>
    <w:rsid w:val="001210F6"/>
    <w:rsid w:val="0012260A"/>
    <w:rsid w:val="0012260E"/>
    <w:rsid w:val="00122A1C"/>
    <w:rsid w:val="00122AB6"/>
    <w:rsid w:val="001310BA"/>
    <w:rsid w:val="00131221"/>
    <w:rsid w:val="001316FA"/>
    <w:rsid w:val="00132CE3"/>
    <w:rsid w:val="00133796"/>
    <w:rsid w:val="00133F1D"/>
    <w:rsid w:val="00136D94"/>
    <w:rsid w:val="00137B02"/>
    <w:rsid w:val="00141E9C"/>
    <w:rsid w:val="00143731"/>
    <w:rsid w:val="00144253"/>
    <w:rsid w:val="00147B1D"/>
    <w:rsid w:val="00147FD9"/>
    <w:rsid w:val="0015219D"/>
    <w:rsid w:val="00160E9B"/>
    <w:rsid w:val="00160F19"/>
    <w:rsid w:val="0016306C"/>
    <w:rsid w:val="00163C30"/>
    <w:rsid w:val="00165AC4"/>
    <w:rsid w:val="00165BA9"/>
    <w:rsid w:val="001677AD"/>
    <w:rsid w:val="001678C1"/>
    <w:rsid w:val="001704E2"/>
    <w:rsid w:val="001707D1"/>
    <w:rsid w:val="00172227"/>
    <w:rsid w:val="00172DB9"/>
    <w:rsid w:val="00173F56"/>
    <w:rsid w:val="00175CF3"/>
    <w:rsid w:val="00176AE0"/>
    <w:rsid w:val="0018064C"/>
    <w:rsid w:val="00181220"/>
    <w:rsid w:val="00183878"/>
    <w:rsid w:val="001847AF"/>
    <w:rsid w:val="00191092"/>
    <w:rsid w:val="00192844"/>
    <w:rsid w:val="001932E7"/>
    <w:rsid w:val="001943A1"/>
    <w:rsid w:val="001945B4"/>
    <w:rsid w:val="001952E5"/>
    <w:rsid w:val="00195691"/>
    <w:rsid w:val="00195BB7"/>
    <w:rsid w:val="00197FB9"/>
    <w:rsid w:val="001A08E0"/>
    <w:rsid w:val="001A12C9"/>
    <w:rsid w:val="001A1BD4"/>
    <w:rsid w:val="001A31FC"/>
    <w:rsid w:val="001A3904"/>
    <w:rsid w:val="001A3DB7"/>
    <w:rsid w:val="001A5660"/>
    <w:rsid w:val="001A67CA"/>
    <w:rsid w:val="001B0D90"/>
    <w:rsid w:val="001B1BC2"/>
    <w:rsid w:val="001B2A1C"/>
    <w:rsid w:val="001B5E86"/>
    <w:rsid w:val="001B6A05"/>
    <w:rsid w:val="001B6EA8"/>
    <w:rsid w:val="001B7203"/>
    <w:rsid w:val="001C4AAF"/>
    <w:rsid w:val="001C5104"/>
    <w:rsid w:val="001D248D"/>
    <w:rsid w:val="001D2F64"/>
    <w:rsid w:val="001D3520"/>
    <w:rsid w:val="001D37F8"/>
    <w:rsid w:val="001E058E"/>
    <w:rsid w:val="001E1016"/>
    <w:rsid w:val="001E1B33"/>
    <w:rsid w:val="001E3A59"/>
    <w:rsid w:val="001E451A"/>
    <w:rsid w:val="001E72E6"/>
    <w:rsid w:val="001F34A9"/>
    <w:rsid w:val="001F434C"/>
    <w:rsid w:val="001F693A"/>
    <w:rsid w:val="002002BB"/>
    <w:rsid w:val="00201CAB"/>
    <w:rsid w:val="002022B6"/>
    <w:rsid w:val="0020246F"/>
    <w:rsid w:val="00206662"/>
    <w:rsid w:val="00207253"/>
    <w:rsid w:val="002077FB"/>
    <w:rsid w:val="00210656"/>
    <w:rsid w:val="00212D19"/>
    <w:rsid w:val="00214E97"/>
    <w:rsid w:val="002153AC"/>
    <w:rsid w:val="00216764"/>
    <w:rsid w:val="00216828"/>
    <w:rsid w:val="002173E6"/>
    <w:rsid w:val="002207A5"/>
    <w:rsid w:val="002220B5"/>
    <w:rsid w:val="00222B9D"/>
    <w:rsid w:val="00223E78"/>
    <w:rsid w:val="00225783"/>
    <w:rsid w:val="0022665D"/>
    <w:rsid w:val="00227B07"/>
    <w:rsid w:val="00230F78"/>
    <w:rsid w:val="002317D9"/>
    <w:rsid w:val="002323BF"/>
    <w:rsid w:val="00233603"/>
    <w:rsid w:val="002341EE"/>
    <w:rsid w:val="0023568A"/>
    <w:rsid w:val="00235810"/>
    <w:rsid w:val="00237EDC"/>
    <w:rsid w:val="002427E4"/>
    <w:rsid w:val="0024301F"/>
    <w:rsid w:val="002455E0"/>
    <w:rsid w:val="002465D2"/>
    <w:rsid w:val="00251388"/>
    <w:rsid w:val="002522AD"/>
    <w:rsid w:val="00253007"/>
    <w:rsid w:val="00253E22"/>
    <w:rsid w:val="00254E1F"/>
    <w:rsid w:val="00256BEE"/>
    <w:rsid w:val="00257E9E"/>
    <w:rsid w:val="002608F3"/>
    <w:rsid w:val="00260DCB"/>
    <w:rsid w:val="00260E21"/>
    <w:rsid w:val="0026231B"/>
    <w:rsid w:val="002630D0"/>
    <w:rsid w:val="00264AEF"/>
    <w:rsid w:val="002677AE"/>
    <w:rsid w:val="0027239A"/>
    <w:rsid w:val="002724D2"/>
    <w:rsid w:val="00272B08"/>
    <w:rsid w:val="00275034"/>
    <w:rsid w:val="0027512D"/>
    <w:rsid w:val="002762C3"/>
    <w:rsid w:val="00281E2F"/>
    <w:rsid w:val="0028241E"/>
    <w:rsid w:val="0028296F"/>
    <w:rsid w:val="00283988"/>
    <w:rsid w:val="00283E8F"/>
    <w:rsid w:val="00284943"/>
    <w:rsid w:val="00285237"/>
    <w:rsid w:val="00286CD4"/>
    <w:rsid w:val="00287CAF"/>
    <w:rsid w:val="00291CBF"/>
    <w:rsid w:val="00292685"/>
    <w:rsid w:val="0029272C"/>
    <w:rsid w:val="00293F78"/>
    <w:rsid w:val="0029444A"/>
    <w:rsid w:val="00296A85"/>
    <w:rsid w:val="00297158"/>
    <w:rsid w:val="002A1833"/>
    <w:rsid w:val="002A6F32"/>
    <w:rsid w:val="002B1499"/>
    <w:rsid w:val="002B3AA4"/>
    <w:rsid w:val="002B4B92"/>
    <w:rsid w:val="002B7D95"/>
    <w:rsid w:val="002C0E81"/>
    <w:rsid w:val="002C1E2D"/>
    <w:rsid w:val="002C45A2"/>
    <w:rsid w:val="002C5082"/>
    <w:rsid w:val="002C7C65"/>
    <w:rsid w:val="002D2277"/>
    <w:rsid w:val="002D2586"/>
    <w:rsid w:val="002D42E1"/>
    <w:rsid w:val="002D5768"/>
    <w:rsid w:val="002D5AE2"/>
    <w:rsid w:val="002D744E"/>
    <w:rsid w:val="002E14C1"/>
    <w:rsid w:val="002E52AD"/>
    <w:rsid w:val="002E7582"/>
    <w:rsid w:val="002F0FA7"/>
    <w:rsid w:val="002F1A30"/>
    <w:rsid w:val="002F3AB2"/>
    <w:rsid w:val="002F5283"/>
    <w:rsid w:val="002F5AFC"/>
    <w:rsid w:val="002F5B38"/>
    <w:rsid w:val="00302AEF"/>
    <w:rsid w:val="003034F8"/>
    <w:rsid w:val="003035BE"/>
    <w:rsid w:val="00303B3F"/>
    <w:rsid w:val="00305443"/>
    <w:rsid w:val="00310B1F"/>
    <w:rsid w:val="0031285E"/>
    <w:rsid w:val="003128B4"/>
    <w:rsid w:val="003129AC"/>
    <w:rsid w:val="003174CB"/>
    <w:rsid w:val="003208A4"/>
    <w:rsid w:val="00321B62"/>
    <w:rsid w:val="0032222B"/>
    <w:rsid w:val="00322E0D"/>
    <w:rsid w:val="00324056"/>
    <w:rsid w:val="003256E2"/>
    <w:rsid w:val="003314DD"/>
    <w:rsid w:val="00331F79"/>
    <w:rsid w:val="003322D9"/>
    <w:rsid w:val="003351A1"/>
    <w:rsid w:val="00335BA3"/>
    <w:rsid w:val="0034091A"/>
    <w:rsid w:val="00341986"/>
    <w:rsid w:val="00342C61"/>
    <w:rsid w:val="003434CD"/>
    <w:rsid w:val="00344738"/>
    <w:rsid w:val="00344EE9"/>
    <w:rsid w:val="0034654A"/>
    <w:rsid w:val="003466F0"/>
    <w:rsid w:val="00350102"/>
    <w:rsid w:val="003522C1"/>
    <w:rsid w:val="003527CA"/>
    <w:rsid w:val="003554DF"/>
    <w:rsid w:val="00356BDE"/>
    <w:rsid w:val="00357257"/>
    <w:rsid w:val="003576D9"/>
    <w:rsid w:val="003577D3"/>
    <w:rsid w:val="00361095"/>
    <w:rsid w:val="00361B3D"/>
    <w:rsid w:val="00362961"/>
    <w:rsid w:val="00365387"/>
    <w:rsid w:val="0036670B"/>
    <w:rsid w:val="00366C79"/>
    <w:rsid w:val="00370229"/>
    <w:rsid w:val="00370A69"/>
    <w:rsid w:val="00372F03"/>
    <w:rsid w:val="003800FA"/>
    <w:rsid w:val="00381152"/>
    <w:rsid w:val="0038189D"/>
    <w:rsid w:val="00383498"/>
    <w:rsid w:val="00390064"/>
    <w:rsid w:val="0039078D"/>
    <w:rsid w:val="00393AFA"/>
    <w:rsid w:val="00393E49"/>
    <w:rsid w:val="00395FD3"/>
    <w:rsid w:val="0039798C"/>
    <w:rsid w:val="00397A94"/>
    <w:rsid w:val="00397BE6"/>
    <w:rsid w:val="003A060C"/>
    <w:rsid w:val="003A16F9"/>
    <w:rsid w:val="003A2E28"/>
    <w:rsid w:val="003A3B9E"/>
    <w:rsid w:val="003A7459"/>
    <w:rsid w:val="003B0ADA"/>
    <w:rsid w:val="003B270A"/>
    <w:rsid w:val="003B2A3A"/>
    <w:rsid w:val="003B4567"/>
    <w:rsid w:val="003B55EA"/>
    <w:rsid w:val="003B5EC3"/>
    <w:rsid w:val="003C0570"/>
    <w:rsid w:val="003C116D"/>
    <w:rsid w:val="003C1488"/>
    <w:rsid w:val="003C1650"/>
    <w:rsid w:val="003C33EB"/>
    <w:rsid w:val="003C3848"/>
    <w:rsid w:val="003C3960"/>
    <w:rsid w:val="003C5DE6"/>
    <w:rsid w:val="003C7779"/>
    <w:rsid w:val="003D017E"/>
    <w:rsid w:val="003D06C8"/>
    <w:rsid w:val="003D0839"/>
    <w:rsid w:val="003D1B0C"/>
    <w:rsid w:val="003D29C4"/>
    <w:rsid w:val="003D6D8C"/>
    <w:rsid w:val="003D70E8"/>
    <w:rsid w:val="003D7355"/>
    <w:rsid w:val="003E0B32"/>
    <w:rsid w:val="003E0BB8"/>
    <w:rsid w:val="003E0F40"/>
    <w:rsid w:val="003E3482"/>
    <w:rsid w:val="003E5AB1"/>
    <w:rsid w:val="003E62E3"/>
    <w:rsid w:val="003E665A"/>
    <w:rsid w:val="003E6838"/>
    <w:rsid w:val="003E69E9"/>
    <w:rsid w:val="003F054E"/>
    <w:rsid w:val="003F1D39"/>
    <w:rsid w:val="003F4B30"/>
    <w:rsid w:val="003F7B4A"/>
    <w:rsid w:val="003F7CD1"/>
    <w:rsid w:val="00400588"/>
    <w:rsid w:val="00400938"/>
    <w:rsid w:val="00400E84"/>
    <w:rsid w:val="00401099"/>
    <w:rsid w:val="00401DF7"/>
    <w:rsid w:val="0040312C"/>
    <w:rsid w:val="004033B4"/>
    <w:rsid w:val="00403E9B"/>
    <w:rsid w:val="00404F54"/>
    <w:rsid w:val="004064C9"/>
    <w:rsid w:val="00406E58"/>
    <w:rsid w:val="00410ED9"/>
    <w:rsid w:val="004116A9"/>
    <w:rsid w:val="00411B2E"/>
    <w:rsid w:val="00412934"/>
    <w:rsid w:val="00415F79"/>
    <w:rsid w:val="0041626D"/>
    <w:rsid w:val="004176FA"/>
    <w:rsid w:val="00423CA1"/>
    <w:rsid w:val="00425574"/>
    <w:rsid w:val="00427C39"/>
    <w:rsid w:val="00430C08"/>
    <w:rsid w:val="00430E3D"/>
    <w:rsid w:val="004327C0"/>
    <w:rsid w:val="0043792C"/>
    <w:rsid w:val="00440011"/>
    <w:rsid w:val="0044146E"/>
    <w:rsid w:val="00444B81"/>
    <w:rsid w:val="00445385"/>
    <w:rsid w:val="004463E3"/>
    <w:rsid w:val="00446ABD"/>
    <w:rsid w:val="00450B2A"/>
    <w:rsid w:val="004510E7"/>
    <w:rsid w:val="004511F4"/>
    <w:rsid w:val="00453B1C"/>
    <w:rsid w:val="0045600E"/>
    <w:rsid w:val="00461326"/>
    <w:rsid w:val="00462254"/>
    <w:rsid w:val="00463782"/>
    <w:rsid w:val="00465156"/>
    <w:rsid w:val="00466134"/>
    <w:rsid w:val="00466F7D"/>
    <w:rsid w:val="00467C62"/>
    <w:rsid w:val="0047749C"/>
    <w:rsid w:val="00483EE8"/>
    <w:rsid w:val="0048403B"/>
    <w:rsid w:val="00484851"/>
    <w:rsid w:val="00484F26"/>
    <w:rsid w:val="0048640A"/>
    <w:rsid w:val="00486936"/>
    <w:rsid w:val="00486BD5"/>
    <w:rsid w:val="00490676"/>
    <w:rsid w:val="00490800"/>
    <w:rsid w:val="00491501"/>
    <w:rsid w:val="00491B10"/>
    <w:rsid w:val="00491D9C"/>
    <w:rsid w:val="004A1123"/>
    <w:rsid w:val="004A14DD"/>
    <w:rsid w:val="004A556C"/>
    <w:rsid w:val="004A561E"/>
    <w:rsid w:val="004A5F97"/>
    <w:rsid w:val="004A6449"/>
    <w:rsid w:val="004A65DE"/>
    <w:rsid w:val="004A7D2E"/>
    <w:rsid w:val="004B0085"/>
    <w:rsid w:val="004B01A4"/>
    <w:rsid w:val="004B0DAA"/>
    <w:rsid w:val="004B1266"/>
    <w:rsid w:val="004B18F1"/>
    <w:rsid w:val="004B2D9F"/>
    <w:rsid w:val="004B4D56"/>
    <w:rsid w:val="004B6295"/>
    <w:rsid w:val="004B6DCF"/>
    <w:rsid w:val="004B7573"/>
    <w:rsid w:val="004C0FAC"/>
    <w:rsid w:val="004C1E07"/>
    <w:rsid w:val="004C2239"/>
    <w:rsid w:val="004C4228"/>
    <w:rsid w:val="004C431F"/>
    <w:rsid w:val="004C5543"/>
    <w:rsid w:val="004D12DF"/>
    <w:rsid w:val="004D1DB3"/>
    <w:rsid w:val="004D297C"/>
    <w:rsid w:val="004D3FA0"/>
    <w:rsid w:val="004D50DC"/>
    <w:rsid w:val="004D73E7"/>
    <w:rsid w:val="004E0AE3"/>
    <w:rsid w:val="004E3D0D"/>
    <w:rsid w:val="004E57A5"/>
    <w:rsid w:val="004F1221"/>
    <w:rsid w:val="004F2905"/>
    <w:rsid w:val="004F3BDB"/>
    <w:rsid w:val="004F4233"/>
    <w:rsid w:val="004F7F88"/>
    <w:rsid w:val="00500F6C"/>
    <w:rsid w:val="00501295"/>
    <w:rsid w:val="00501E76"/>
    <w:rsid w:val="00502D63"/>
    <w:rsid w:val="00506864"/>
    <w:rsid w:val="00511104"/>
    <w:rsid w:val="005114EA"/>
    <w:rsid w:val="00511F1A"/>
    <w:rsid w:val="005128D6"/>
    <w:rsid w:val="005157D3"/>
    <w:rsid w:val="005167F4"/>
    <w:rsid w:val="0052294C"/>
    <w:rsid w:val="005238EA"/>
    <w:rsid w:val="00523DC9"/>
    <w:rsid w:val="00523E1E"/>
    <w:rsid w:val="00527223"/>
    <w:rsid w:val="005311CF"/>
    <w:rsid w:val="005327B4"/>
    <w:rsid w:val="0053299E"/>
    <w:rsid w:val="00532C0B"/>
    <w:rsid w:val="0053498B"/>
    <w:rsid w:val="005355F5"/>
    <w:rsid w:val="00535705"/>
    <w:rsid w:val="00535824"/>
    <w:rsid w:val="00536530"/>
    <w:rsid w:val="005372D5"/>
    <w:rsid w:val="00537304"/>
    <w:rsid w:val="00541260"/>
    <w:rsid w:val="00542669"/>
    <w:rsid w:val="00542A4F"/>
    <w:rsid w:val="0054455B"/>
    <w:rsid w:val="005459F5"/>
    <w:rsid w:val="00545C62"/>
    <w:rsid w:val="00546333"/>
    <w:rsid w:val="005465AD"/>
    <w:rsid w:val="00547458"/>
    <w:rsid w:val="00551095"/>
    <w:rsid w:val="0055117B"/>
    <w:rsid w:val="005524C8"/>
    <w:rsid w:val="00555DFB"/>
    <w:rsid w:val="00556683"/>
    <w:rsid w:val="00565018"/>
    <w:rsid w:val="00565428"/>
    <w:rsid w:val="00565FC0"/>
    <w:rsid w:val="00566B24"/>
    <w:rsid w:val="00574837"/>
    <w:rsid w:val="005751A7"/>
    <w:rsid w:val="00575658"/>
    <w:rsid w:val="005804C1"/>
    <w:rsid w:val="00580681"/>
    <w:rsid w:val="00581537"/>
    <w:rsid w:val="0058168A"/>
    <w:rsid w:val="00581AAA"/>
    <w:rsid w:val="00582173"/>
    <w:rsid w:val="00582774"/>
    <w:rsid w:val="00582F14"/>
    <w:rsid w:val="0058586D"/>
    <w:rsid w:val="00585EEA"/>
    <w:rsid w:val="0058617F"/>
    <w:rsid w:val="00586DC1"/>
    <w:rsid w:val="00586F8A"/>
    <w:rsid w:val="00590D53"/>
    <w:rsid w:val="00591EAB"/>
    <w:rsid w:val="00593926"/>
    <w:rsid w:val="00593FB6"/>
    <w:rsid w:val="00593FDD"/>
    <w:rsid w:val="005955A7"/>
    <w:rsid w:val="005956A6"/>
    <w:rsid w:val="005969C6"/>
    <w:rsid w:val="005A03A8"/>
    <w:rsid w:val="005A076A"/>
    <w:rsid w:val="005A0B93"/>
    <w:rsid w:val="005A387E"/>
    <w:rsid w:val="005A3971"/>
    <w:rsid w:val="005A3D78"/>
    <w:rsid w:val="005A4AE1"/>
    <w:rsid w:val="005A77A5"/>
    <w:rsid w:val="005A7866"/>
    <w:rsid w:val="005B0F9A"/>
    <w:rsid w:val="005B1388"/>
    <w:rsid w:val="005B4BC3"/>
    <w:rsid w:val="005B5508"/>
    <w:rsid w:val="005B554B"/>
    <w:rsid w:val="005B5908"/>
    <w:rsid w:val="005B76C0"/>
    <w:rsid w:val="005B7B60"/>
    <w:rsid w:val="005C4C09"/>
    <w:rsid w:val="005C538D"/>
    <w:rsid w:val="005C6030"/>
    <w:rsid w:val="005C683C"/>
    <w:rsid w:val="005C7275"/>
    <w:rsid w:val="005D069B"/>
    <w:rsid w:val="005D1E68"/>
    <w:rsid w:val="005D43D2"/>
    <w:rsid w:val="005D47E3"/>
    <w:rsid w:val="005D4D87"/>
    <w:rsid w:val="005D66EF"/>
    <w:rsid w:val="005E0704"/>
    <w:rsid w:val="005E0EC2"/>
    <w:rsid w:val="005E100F"/>
    <w:rsid w:val="005E4632"/>
    <w:rsid w:val="005E4829"/>
    <w:rsid w:val="005E49B4"/>
    <w:rsid w:val="005E6213"/>
    <w:rsid w:val="005E63F4"/>
    <w:rsid w:val="005F0B68"/>
    <w:rsid w:val="005F1173"/>
    <w:rsid w:val="005F3DAD"/>
    <w:rsid w:val="005F3E70"/>
    <w:rsid w:val="005F59F3"/>
    <w:rsid w:val="005F5C47"/>
    <w:rsid w:val="005F61A1"/>
    <w:rsid w:val="005F7587"/>
    <w:rsid w:val="005F7D7A"/>
    <w:rsid w:val="00600529"/>
    <w:rsid w:val="00600CA9"/>
    <w:rsid w:val="00601417"/>
    <w:rsid w:val="00601FEA"/>
    <w:rsid w:val="00604E95"/>
    <w:rsid w:val="006054DE"/>
    <w:rsid w:val="0061062D"/>
    <w:rsid w:val="00611E4B"/>
    <w:rsid w:val="00613029"/>
    <w:rsid w:val="00613166"/>
    <w:rsid w:val="006138F4"/>
    <w:rsid w:val="0061549B"/>
    <w:rsid w:val="0061605A"/>
    <w:rsid w:val="00616A99"/>
    <w:rsid w:val="00617024"/>
    <w:rsid w:val="0061719C"/>
    <w:rsid w:val="00617771"/>
    <w:rsid w:val="00617A0B"/>
    <w:rsid w:val="00625BDB"/>
    <w:rsid w:val="006262A7"/>
    <w:rsid w:val="00630A8E"/>
    <w:rsid w:val="00631143"/>
    <w:rsid w:val="00631ADD"/>
    <w:rsid w:val="00631DBE"/>
    <w:rsid w:val="006322B5"/>
    <w:rsid w:val="006329C4"/>
    <w:rsid w:val="006340C1"/>
    <w:rsid w:val="00634E57"/>
    <w:rsid w:val="00640112"/>
    <w:rsid w:val="00641723"/>
    <w:rsid w:val="00643E14"/>
    <w:rsid w:val="006469DA"/>
    <w:rsid w:val="00646C88"/>
    <w:rsid w:val="00647EAA"/>
    <w:rsid w:val="00651AB5"/>
    <w:rsid w:val="006522B6"/>
    <w:rsid w:val="00652CB6"/>
    <w:rsid w:val="00652F3F"/>
    <w:rsid w:val="00653C1D"/>
    <w:rsid w:val="00654392"/>
    <w:rsid w:val="006553DD"/>
    <w:rsid w:val="00661462"/>
    <w:rsid w:val="00662AF2"/>
    <w:rsid w:val="006637E7"/>
    <w:rsid w:val="00665C84"/>
    <w:rsid w:val="00665DAC"/>
    <w:rsid w:val="0066700B"/>
    <w:rsid w:val="0066787C"/>
    <w:rsid w:val="00670084"/>
    <w:rsid w:val="0067027B"/>
    <w:rsid w:val="00672575"/>
    <w:rsid w:val="00673C38"/>
    <w:rsid w:val="00676940"/>
    <w:rsid w:val="00681708"/>
    <w:rsid w:val="00683544"/>
    <w:rsid w:val="0068371B"/>
    <w:rsid w:val="006840B1"/>
    <w:rsid w:val="00684F11"/>
    <w:rsid w:val="00685E95"/>
    <w:rsid w:val="006866B8"/>
    <w:rsid w:val="0069103B"/>
    <w:rsid w:val="00691D2C"/>
    <w:rsid w:val="006967B3"/>
    <w:rsid w:val="006969FE"/>
    <w:rsid w:val="00696AF5"/>
    <w:rsid w:val="0069763F"/>
    <w:rsid w:val="006A0657"/>
    <w:rsid w:val="006A096E"/>
    <w:rsid w:val="006A0D14"/>
    <w:rsid w:val="006A4DEB"/>
    <w:rsid w:val="006A7CDD"/>
    <w:rsid w:val="006B1AA9"/>
    <w:rsid w:val="006B296D"/>
    <w:rsid w:val="006B2E60"/>
    <w:rsid w:val="006B40B9"/>
    <w:rsid w:val="006B717E"/>
    <w:rsid w:val="006B7A9D"/>
    <w:rsid w:val="006C010A"/>
    <w:rsid w:val="006C2217"/>
    <w:rsid w:val="006C2EFF"/>
    <w:rsid w:val="006C7367"/>
    <w:rsid w:val="006D2D71"/>
    <w:rsid w:val="006D459B"/>
    <w:rsid w:val="006D522A"/>
    <w:rsid w:val="006E592E"/>
    <w:rsid w:val="006E72DB"/>
    <w:rsid w:val="006F06E8"/>
    <w:rsid w:val="006F12BB"/>
    <w:rsid w:val="006F13CB"/>
    <w:rsid w:val="006F1AAA"/>
    <w:rsid w:val="006F272A"/>
    <w:rsid w:val="006F2D32"/>
    <w:rsid w:val="006F57D4"/>
    <w:rsid w:val="006F5800"/>
    <w:rsid w:val="006F60D1"/>
    <w:rsid w:val="00700BC1"/>
    <w:rsid w:val="00706A2A"/>
    <w:rsid w:val="00706FEC"/>
    <w:rsid w:val="007077D4"/>
    <w:rsid w:val="00710A93"/>
    <w:rsid w:val="00712D8A"/>
    <w:rsid w:val="0071474A"/>
    <w:rsid w:val="0071520F"/>
    <w:rsid w:val="00715C99"/>
    <w:rsid w:val="007169A6"/>
    <w:rsid w:val="00716DDC"/>
    <w:rsid w:val="00720D55"/>
    <w:rsid w:val="0072152E"/>
    <w:rsid w:val="00723107"/>
    <w:rsid w:val="00724B8D"/>
    <w:rsid w:val="00725847"/>
    <w:rsid w:val="00727399"/>
    <w:rsid w:val="00730B02"/>
    <w:rsid w:val="007315C2"/>
    <w:rsid w:val="00734BFF"/>
    <w:rsid w:val="00734C84"/>
    <w:rsid w:val="00740E2A"/>
    <w:rsid w:val="00741030"/>
    <w:rsid w:val="0074124D"/>
    <w:rsid w:val="00741EEC"/>
    <w:rsid w:val="007426A1"/>
    <w:rsid w:val="00745F66"/>
    <w:rsid w:val="00752F66"/>
    <w:rsid w:val="0075374E"/>
    <w:rsid w:val="00753B15"/>
    <w:rsid w:val="00754588"/>
    <w:rsid w:val="00755D49"/>
    <w:rsid w:val="00755F3C"/>
    <w:rsid w:val="00757AB1"/>
    <w:rsid w:val="00760B1A"/>
    <w:rsid w:val="00762CFA"/>
    <w:rsid w:val="00763EDA"/>
    <w:rsid w:val="00764245"/>
    <w:rsid w:val="007674CB"/>
    <w:rsid w:val="007707B8"/>
    <w:rsid w:val="00771B0E"/>
    <w:rsid w:val="00771B86"/>
    <w:rsid w:val="0077231F"/>
    <w:rsid w:val="0077643E"/>
    <w:rsid w:val="007774D1"/>
    <w:rsid w:val="00783908"/>
    <w:rsid w:val="00783E60"/>
    <w:rsid w:val="007845E6"/>
    <w:rsid w:val="00790F09"/>
    <w:rsid w:val="00791E6E"/>
    <w:rsid w:val="00792F6B"/>
    <w:rsid w:val="0079349C"/>
    <w:rsid w:val="00795189"/>
    <w:rsid w:val="00795DD0"/>
    <w:rsid w:val="00796B6D"/>
    <w:rsid w:val="00797604"/>
    <w:rsid w:val="007A2AFA"/>
    <w:rsid w:val="007A329F"/>
    <w:rsid w:val="007A35A1"/>
    <w:rsid w:val="007A4212"/>
    <w:rsid w:val="007A4D22"/>
    <w:rsid w:val="007A539C"/>
    <w:rsid w:val="007A7685"/>
    <w:rsid w:val="007B24B5"/>
    <w:rsid w:val="007B4BC3"/>
    <w:rsid w:val="007B5BDA"/>
    <w:rsid w:val="007B5C3F"/>
    <w:rsid w:val="007B6086"/>
    <w:rsid w:val="007B78AB"/>
    <w:rsid w:val="007C090E"/>
    <w:rsid w:val="007C1005"/>
    <w:rsid w:val="007C1C6F"/>
    <w:rsid w:val="007C260E"/>
    <w:rsid w:val="007C39ED"/>
    <w:rsid w:val="007C3D3F"/>
    <w:rsid w:val="007C44D4"/>
    <w:rsid w:val="007C5686"/>
    <w:rsid w:val="007C6020"/>
    <w:rsid w:val="007C7DD8"/>
    <w:rsid w:val="007D176A"/>
    <w:rsid w:val="007D1E49"/>
    <w:rsid w:val="007D661D"/>
    <w:rsid w:val="007E08E0"/>
    <w:rsid w:val="007E0BB3"/>
    <w:rsid w:val="007E2995"/>
    <w:rsid w:val="007E3F6F"/>
    <w:rsid w:val="007E485E"/>
    <w:rsid w:val="007E582D"/>
    <w:rsid w:val="007E6ABA"/>
    <w:rsid w:val="007F0793"/>
    <w:rsid w:val="007F13A3"/>
    <w:rsid w:val="007F1D58"/>
    <w:rsid w:val="007F2EB1"/>
    <w:rsid w:val="007F309D"/>
    <w:rsid w:val="007F3C72"/>
    <w:rsid w:val="007F4E8A"/>
    <w:rsid w:val="007F7A75"/>
    <w:rsid w:val="00801600"/>
    <w:rsid w:val="0080502D"/>
    <w:rsid w:val="008050EF"/>
    <w:rsid w:val="00807DB4"/>
    <w:rsid w:val="00807F21"/>
    <w:rsid w:val="008109DB"/>
    <w:rsid w:val="00812CB4"/>
    <w:rsid w:val="00814C68"/>
    <w:rsid w:val="008248C5"/>
    <w:rsid w:val="00826B4B"/>
    <w:rsid w:val="00833673"/>
    <w:rsid w:val="0083527D"/>
    <w:rsid w:val="008377BD"/>
    <w:rsid w:val="00837D84"/>
    <w:rsid w:val="008415AD"/>
    <w:rsid w:val="00843241"/>
    <w:rsid w:val="0084401E"/>
    <w:rsid w:val="0084563D"/>
    <w:rsid w:val="008464AA"/>
    <w:rsid w:val="00846FD3"/>
    <w:rsid w:val="00850235"/>
    <w:rsid w:val="008502B2"/>
    <w:rsid w:val="008506C0"/>
    <w:rsid w:val="00852422"/>
    <w:rsid w:val="00852C30"/>
    <w:rsid w:val="00854837"/>
    <w:rsid w:val="00854B8F"/>
    <w:rsid w:val="008575B8"/>
    <w:rsid w:val="008607D1"/>
    <w:rsid w:val="008615A7"/>
    <w:rsid w:val="00861C47"/>
    <w:rsid w:val="0086693E"/>
    <w:rsid w:val="00867430"/>
    <w:rsid w:val="008679A0"/>
    <w:rsid w:val="00870549"/>
    <w:rsid w:val="0087173B"/>
    <w:rsid w:val="008731CA"/>
    <w:rsid w:val="00873596"/>
    <w:rsid w:val="0087506C"/>
    <w:rsid w:val="008765E9"/>
    <w:rsid w:val="0087686E"/>
    <w:rsid w:val="00881197"/>
    <w:rsid w:val="008819C7"/>
    <w:rsid w:val="00882193"/>
    <w:rsid w:val="00884EE1"/>
    <w:rsid w:val="00885632"/>
    <w:rsid w:val="0088767C"/>
    <w:rsid w:val="00893124"/>
    <w:rsid w:val="00893FB2"/>
    <w:rsid w:val="008947C9"/>
    <w:rsid w:val="00894C6A"/>
    <w:rsid w:val="008953CD"/>
    <w:rsid w:val="00896262"/>
    <w:rsid w:val="00897005"/>
    <w:rsid w:val="008A0275"/>
    <w:rsid w:val="008A047D"/>
    <w:rsid w:val="008A0A41"/>
    <w:rsid w:val="008A11C7"/>
    <w:rsid w:val="008A138D"/>
    <w:rsid w:val="008A2612"/>
    <w:rsid w:val="008A2A2D"/>
    <w:rsid w:val="008A2C4E"/>
    <w:rsid w:val="008A3282"/>
    <w:rsid w:val="008A34D9"/>
    <w:rsid w:val="008A4E27"/>
    <w:rsid w:val="008A578F"/>
    <w:rsid w:val="008A6234"/>
    <w:rsid w:val="008B36F0"/>
    <w:rsid w:val="008B3B2A"/>
    <w:rsid w:val="008B3C14"/>
    <w:rsid w:val="008B54F5"/>
    <w:rsid w:val="008B7F9A"/>
    <w:rsid w:val="008C02E1"/>
    <w:rsid w:val="008C211A"/>
    <w:rsid w:val="008C3D0A"/>
    <w:rsid w:val="008C4FA6"/>
    <w:rsid w:val="008C6770"/>
    <w:rsid w:val="008C6B05"/>
    <w:rsid w:val="008C7273"/>
    <w:rsid w:val="008C7AA7"/>
    <w:rsid w:val="008D00BF"/>
    <w:rsid w:val="008D1B17"/>
    <w:rsid w:val="008D31F1"/>
    <w:rsid w:val="008D37BA"/>
    <w:rsid w:val="008D6899"/>
    <w:rsid w:val="008E1C55"/>
    <w:rsid w:val="008E5084"/>
    <w:rsid w:val="008E5D86"/>
    <w:rsid w:val="008E6051"/>
    <w:rsid w:val="008F4DFE"/>
    <w:rsid w:val="0090028A"/>
    <w:rsid w:val="00902F49"/>
    <w:rsid w:val="00904E62"/>
    <w:rsid w:val="00904FBE"/>
    <w:rsid w:val="00911C82"/>
    <w:rsid w:val="009132C5"/>
    <w:rsid w:val="00914A8A"/>
    <w:rsid w:val="0092623E"/>
    <w:rsid w:val="009278C8"/>
    <w:rsid w:val="0093239D"/>
    <w:rsid w:val="00933410"/>
    <w:rsid w:val="0093495F"/>
    <w:rsid w:val="009351F5"/>
    <w:rsid w:val="009357F8"/>
    <w:rsid w:val="00940487"/>
    <w:rsid w:val="009407B6"/>
    <w:rsid w:val="00941CE4"/>
    <w:rsid w:val="00942F78"/>
    <w:rsid w:val="009442FF"/>
    <w:rsid w:val="009453B0"/>
    <w:rsid w:val="00946C2D"/>
    <w:rsid w:val="009478E0"/>
    <w:rsid w:val="00947EB9"/>
    <w:rsid w:val="009507D1"/>
    <w:rsid w:val="00951C37"/>
    <w:rsid w:val="00954FC5"/>
    <w:rsid w:val="00956660"/>
    <w:rsid w:val="00956959"/>
    <w:rsid w:val="00960078"/>
    <w:rsid w:val="00960D5C"/>
    <w:rsid w:val="00962BA6"/>
    <w:rsid w:val="00962EB5"/>
    <w:rsid w:val="00964A52"/>
    <w:rsid w:val="0096719A"/>
    <w:rsid w:val="0097022B"/>
    <w:rsid w:val="009706D5"/>
    <w:rsid w:val="009710D4"/>
    <w:rsid w:val="00973A70"/>
    <w:rsid w:val="00973AAC"/>
    <w:rsid w:val="00974EB5"/>
    <w:rsid w:val="009755CA"/>
    <w:rsid w:val="00975E94"/>
    <w:rsid w:val="00976B3E"/>
    <w:rsid w:val="009776A4"/>
    <w:rsid w:val="009852F2"/>
    <w:rsid w:val="00985ADB"/>
    <w:rsid w:val="00985AFD"/>
    <w:rsid w:val="00986764"/>
    <w:rsid w:val="009902EE"/>
    <w:rsid w:val="00991919"/>
    <w:rsid w:val="0099253E"/>
    <w:rsid w:val="0099269C"/>
    <w:rsid w:val="009931D8"/>
    <w:rsid w:val="00994865"/>
    <w:rsid w:val="00995AA2"/>
    <w:rsid w:val="00997988"/>
    <w:rsid w:val="009A0989"/>
    <w:rsid w:val="009A12F6"/>
    <w:rsid w:val="009A1C05"/>
    <w:rsid w:val="009A2325"/>
    <w:rsid w:val="009A245A"/>
    <w:rsid w:val="009A37C4"/>
    <w:rsid w:val="009A42EC"/>
    <w:rsid w:val="009A54DD"/>
    <w:rsid w:val="009A5DE2"/>
    <w:rsid w:val="009A7DF3"/>
    <w:rsid w:val="009B0463"/>
    <w:rsid w:val="009B1F9E"/>
    <w:rsid w:val="009B4D32"/>
    <w:rsid w:val="009B4DF3"/>
    <w:rsid w:val="009B4E06"/>
    <w:rsid w:val="009B5BDB"/>
    <w:rsid w:val="009C0974"/>
    <w:rsid w:val="009C27D0"/>
    <w:rsid w:val="009C42AC"/>
    <w:rsid w:val="009C6915"/>
    <w:rsid w:val="009D4DA2"/>
    <w:rsid w:val="009D7ADA"/>
    <w:rsid w:val="009E004D"/>
    <w:rsid w:val="009E0AC2"/>
    <w:rsid w:val="009E3BA7"/>
    <w:rsid w:val="009E3CD0"/>
    <w:rsid w:val="009E405A"/>
    <w:rsid w:val="009E53EF"/>
    <w:rsid w:val="009E5541"/>
    <w:rsid w:val="009E617B"/>
    <w:rsid w:val="009E6812"/>
    <w:rsid w:val="009E7354"/>
    <w:rsid w:val="009F276B"/>
    <w:rsid w:val="009F4E67"/>
    <w:rsid w:val="009F6D99"/>
    <w:rsid w:val="009F77AC"/>
    <w:rsid w:val="00A00DD4"/>
    <w:rsid w:val="00A015DF"/>
    <w:rsid w:val="00A03113"/>
    <w:rsid w:val="00A03C46"/>
    <w:rsid w:val="00A06333"/>
    <w:rsid w:val="00A06852"/>
    <w:rsid w:val="00A06A37"/>
    <w:rsid w:val="00A13499"/>
    <w:rsid w:val="00A15546"/>
    <w:rsid w:val="00A169FE"/>
    <w:rsid w:val="00A16BA6"/>
    <w:rsid w:val="00A17433"/>
    <w:rsid w:val="00A178A6"/>
    <w:rsid w:val="00A17B09"/>
    <w:rsid w:val="00A22B6E"/>
    <w:rsid w:val="00A23BA7"/>
    <w:rsid w:val="00A24BBC"/>
    <w:rsid w:val="00A26603"/>
    <w:rsid w:val="00A27C92"/>
    <w:rsid w:val="00A32810"/>
    <w:rsid w:val="00A34420"/>
    <w:rsid w:val="00A34D1E"/>
    <w:rsid w:val="00A351D0"/>
    <w:rsid w:val="00A35945"/>
    <w:rsid w:val="00A35A23"/>
    <w:rsid w:val="00A36860"/>
    <w:rsid w:val="00A36B24"/>
    <w:rsid w:val="00A370A9"/>
    <w:rsid w:val="00A37F7A"/>
    <w:rsid w:val="00A41434"/>
    <w:rsid w:val="00A42A51"/>
    <w:rsid w:val="00A42BC8"/>
    <w:rsid w:val="00A43559"/>
    <w:rsid w:val="00A44E79"/>
    <w:rsid w:val="00A45357"/>
    <w:rsid w:val="00A511E9"/>
    <w:rsid w:val="00A51B38"/>
    <w:rsid w:val="00A53582"/>
    <w:rsid w:val="00A5456B"/>
    <w:rsid w:val="00A609D0"/>
    <w:rsid w:val="00A62E0C"/>
    <w:rsid w:val="00A63702"/>
    <w:rsid w:val="00A63850"/>
    <w:rsid w:val="00A65DC0"/>
    <w:rsid w:val="00A702BD"/>
    <w:rsid w:val="00A71F67"/>
    <w:rsid w:val="00A73FA3"/>
    <w:rsid w:val="00A74796"/>
    <w:rsid w:val="00A74BA3"/>
    <w:rsid w:val="00A75266"/>
    <w:rsid w:val="00A81343"/>
    <w:rsid w:val="00A81746"/>
    <w:rsid w:val="00A83094"/>
    <w:rsid w:val="00A837F7"/>
    <w:rsid w:val="00A83A30"/>
    <w:rsid w:val="00A871C1"/>
    <w:rsid w:val="00A91385"/>
    <w:rsid w:val="00A9184C"/>
    <w:rsid w:val="00A91C32"/>
    <w:rsid w:val="00A929EA"/>
    <w:rsid w:val="00A93D09"/>
    <w:rsid w:val="00A94E35"/>
    <w:rsid w:val="00A955DC"/>
    <w:rsid w:val="00A967FC"/>
    <w:rsid w:val="00A9698C"/>
    <w:rsid w:val="00AA1C9D"/>
    <w:rsid w:val="00AA5AB4"/>
    <w:rsid w:val="00AA6363"/>
    <w:rsid w:val="00AA784C"/>
    <w:rsid w:val="00AA7BBF"/>
    <w:rsid w:val="00AB058B"/>
    <w:rsid w:val="00AB1587"/>
    <w:rsid w:val="00AB211F"/>
    <w:rsid w:val="00AB3307"/>
    <w:rsid w:val="00AB5F44"/>
    <w:rsid w:val="00AB5FEB"/>
    <w:rsid w:val="00AB6399"/>
    <w:rsid w:val="00AB71EF"/>
    <w:rsid w:val="00AB7A40"/>
    <w:rsid w:val="00AC1AE8"/>
    <w:rsid w:val="00AC1AFE"/>
    <w:rsid w:val="00AC21C9"/>
    <w:rsid w:val="00AC6243"/>
    <w:rsid w:val="00AC67BA"/>
    <w:rsid w:val="00AC6BD2"/>
    <w:rsid w:val="00AC6D14"/>
    <w:rsid w:val="00AD0193"/>
    <w:rsid w:val="00AD12B1"/>
    <w:rsid w:val="00AD326E"/>
    <w:rsid w:val="00AD593F"/>
    <w:rsid w:val="00AD6111"/>
    <w:rsid w:val="00AD7B85"/>
    <w:rsid w:val="00AD7C12"/>
    <w:rsid w:val="00AD7D49"/>
    <w:rsid w:val="00AE0C05"/>
    <w:rsid w:val="00AE0DCA"/>
    <w:rsid w:val="00AE1087"/>
    <w:rsid w:val="00AE1AB9"/>
    <w:rsid w:val="00AE3DC8"/>
    <w:rsid w:val="00AE3EA3"/>
    <w:rsid w:val="00AE6235"/>
    <w:rsid w:val="00AE6449"/>
    <w:rsid w:val="00AE7772"/>
    <w:rsid w:val="00AF0A07"/>
    <w:rsid w:val="00AF0C8A"/>
    <w:rsid w:val="00AF1B18"/>
    <w:rsid w:val="00AF2689"/>
    <w:rsid w:val="00AF3773"/>
    <w:rsid w:val="00AF42E5"/>
    <w:rsid w:val="00AF46BA"/>
    <w:rsid w:val="00AF533C"/>
    <w:rsid w:val="00AF63A9"/>
    <w:rsid w:val="00AF6475"/>
    <w:rsid w:val="00AF69A0"/>
    <w:rsid w:val="00AF777A"/>
    <w:rsid w:val="00AF78BC"/>
    <w:rsid w:val="00AF78EA"/>
    <w:rsid w:val="00B007EA"/>
    <w:rsid w:val="00B00D01"/>
    <w:rsid w:val="00B0202D"/>
    <w:rsid w:val="00B044FF"/>
    <w:rsid w:val="00B116ED"/>
    <w:rsid w:val="00B11F4C"/>
    <w:rsid w:val="00B142D7"/>
    <w:rsid w:val="00B16159"/>
    <w:rsid w:val="00B16ACE"/>
    <w:rsid w:val="00B20374"/>
    <w:rsid w:val="00B20ED9"/>
    <w:rsid w:val="00B21A81"/>
    <w:rsid w:val="00B22E61"/>
    <w:rsid w:val="00B23DED"/>
    <w:rsid w:val="00B2470F"/>
    <w:rsid w:val="00B24A77"/>
    <w:rsid w:val="00B27A6F"/>
    <w:rsid w:val="00B335C8"/>
    <w:rsid w:val="00B3423C"/>
    <w:rsid w:val="00B365EE"/>
    <w:rsid w:val="00B36896"/>
    <w:rsid w:val="00B36E9F"/>
    <w:rsid w:val="00B3730A"/>
    <w:rsid w:val="00B37E55"/>
    <w:rsid w:val="00B422A3"/>
    <w:rsid w:val="00B42511"/>
    <w:rsid w:val="00B425FD"/>
    <w:rsid w:val="00B438CE"/>
    <w:rsid w:val="00B45586"/>
    <w:rsid w:val="00B4590A"/>
    <w:rsid w:val="00B45A76"/>
    <w:rsid w:val="00B466F9"/>
    <w:rsid w:val="00B46A4E"/>
    <w:rsid w:val="00B46E85"/>
    <w:rsid w:val="00B47329"/>
    <w:rsid w:val="00B5239F"/>
    <w:rsid w:val="00B5497C"/>
    <w:rsid w:val="00B54C09"/>
    <w:rsid w:val="00B55379"/>
    <w:rsid w:val="00B553CE"/>
    <w:rsid w:val="00B55A36"/>
    <w:rsid w:val="00B57246"/>
    <w:rsid w:val="00B57A6D"/>
    <w:rsid w:val="00B631DE"/>
    <w:rsid w:val="00B6344F"/>
    <w:rsid w:val="00B65091"/>
    <w:rsid w:val="00B65E53"/>
    <w:rsid w:val="00B7056F"/>
    <w:rsid w:val="00B7214F"/>
    <w:rsid w:val="00B72B6A"/>
    <w:rsid w:val="00B73C87"/>
    <w:rsid w:val="00B753BF"/>
    <w:rsid w:val="00B75838"/>
    <w:rsid w:val="00B758E2"/>
    <w:rsid w:val="00B77AF5"/>
    <w:rsid w:val="00B77B7D"/>
    <w:rsid w:val="00B823FF"/>
    <w:rsid w:val="00B8291F"/>
    <w:rsid w:val="00B83F2C"/>
    <w:rsid w:val="00B84AEA"/>
    <w:rsid w:val="00B84AEC"/>
    <w:rsid w:val="00B85E8B"/>
    <w:rsid w:val="00B863AF"/>
    <w:rsid w:val="00B904C2"/>
    <w:rsid w:val="00B934F7"/>
    <w:rsid w:val="00B93A7C"/>
    <w:rsid w:val="00B957C1"/>
    <w:rsid w:val="00B95A0E"/>
    <w:rsid w:val="00B96CA6"/>
    <w:rsid w:val="00B97D70"/>
    <w:rsid w:val="00BA0230"/>
    <w:rsid w:val="00BA0709"/>
    <w:rsid w:val="00BA12F2"/>
    <w:rsid w:val="00BA16D3"/>
    <w:rsid w:val="00BA2D3F"/>
    <w:rsid w:val="00BA44D3"/>
    <w:rsid w:val="00BB13EE"/>
    <w:rsid w:val="00BB1E43"/>
    <w:rsid w:val="00BB3E37"/>
    <w:rsid w:val="00BB5243"/>
    <w:rsid w:val="00BB5646"/>
    <w:rsid w:val="00BB6E1D"/>
    <w:rsid w:val="00BB6F6C"/>
    <w:rsid w:val="00BC1749"/>
    <w:rsid w:val="00BC174C"/>
    <w:rsid w:val="00BC1D7E"/>
    <w:rsid w:val="00BC2968"/>
    <w:rsid w:val="00BC47C7"/>
    <w:rsid w:val="00BC4954"/>
    <w:rsid w:val="00BC5736"/>
    <w:rsid w:val="00BC5888"/>
    <w:rsid w:val="00BC5C88"/>
    <w:rsid w:val="00BC74B6"/>
    <w:rsid w:val="00BD1414"/>
    <w:rsid w:val="00BD15A6"/>
    <w:rsid w:val="00BD2CB8"/>
    <w:rsid w:val="00BD376C"/>
    <w:rsid w:val="00BD6A1A"/>
    <w:rsid w:val="00BE2FEB"/>
    <w:rsid w:val="00BE341B"/>
    <w:rsid w:val="00BE357F"/>
    <w:rsid w:val="00BE59AB"/>
    <w:rsid w:val="00BE6233"/>
    <w:rsid w:val="00BE6EFC"/>
    <w:rsid w:val="00BF0E08"/>
    <w:rsid w:val="00BF312F"/>
    <w:rsid w:val="00BF40BB"/>
    <w:rsid w:val="00C03D5C"/>
    <w:rsid w:val="00C03FC2"/>
    <w:rsid w:val="00C043D7"/>
    <w:rsid w:val="00C06756"/>
    <w:rsid w:val="00C06CFB"/>
    <w:rsid w:val="00C06EF6"/>
    <w:rsid w:val="00C10ABC"/>
    <w:rsid w:val="00C10DD3"/>
    <w:rsid w:val="00C115C8"/>
    <w:rsid w:val="00C12783"/>
    <w:rsid w:val="00C12B23"/>
    <w:rsid w:val="00C137A8"/>
    <w:rsid w:val="00C14188"/>
    <w:rsid w:val="00C14DBE"/>
    <w:rsid w:val="00C14E58"/>
    <w:rsid w:val="00C162D0"/>
    <w:rsid w:val="00C16D36"/>
    <w:rsid w:val="00C171E0"/>
    <w:rsid w:val="00C173BB"/>
    <w:rsid w:val="00C205BC"/>
    <w:rsid w:val="00C23193"/>
    <w:rsid w:val="00C238B4"/>
    <w:rsid w:val="00C23992"/>
    <w:rsid w:val="00C24008"/>
    <w:rsid w:val="00C246A6"/>
    <w:rsid w:val="00C2742E"/>
    <w:rsid w:val="00C30743"/>
    <w:rsid w:val="00C30CCB"/>
    <w:rsid w:val="00C32F99"/>
    <w:rsid w:val="00C33036"/>
    <w:rsid w:val="00C339E3"/>
    <w:rsid w:val="00C340E2"/>
    <w:rsid w:val="00C34CDB"/>
    <w:rsid w:val="00C35394"/>
    <w:rsid w:val="00C3626E"/>
    <w:rsid w:val="00C40074"/>
    <w:rsid w:val="00C40148"/>
    <w:rsid w:val="00C41496"/>
    <w:rsid w:val="00C419CE"/>
    <w:rsid w:val="00C41B30"/>
    <w:rsid w:val="00C4599C"/>
    <w:rsid w:val="00C46A6C"/>
    <w:rsid w:val="00C47634"/>
    <w:rsid w:val="00C512CE"/>
    <w:rsid w:val="00C518AB"/>
    <w:rsid w:val="00C539E7"/>
    <w:rsid w:val="00C54C80"/>
    <w:rsid w:val="00C54E31"/>
    <w:rsid w:val="00C56B6F"/>
    <w:rsid w:val="00C603B1"/>
    <w:rsid w:val="00C62B54"/>
    <w:rsid w:val="00C63C44"/>
    <w:rsid w:val="00C649F2"/>
    <w:rsid w:val="00C653A9"/>
    <w:rsid w:val="00C655E0"/>
    <w:rsid w:val="00C660FA"/>
    <w:rsid w:val="00C66BFB"/>
    <w:rsid w:val="00C67E44"/>
    <w:rsid w:val="00C70708"/>
    <w:rsid w:val="00C7479E"/>
    <w:rsid w:val="00C774ED"/>
    <w:rsid w:val="00C77D11"/>
    <w:rsid w:val="00C80333"/>
    <w:rsid w:val="00C80B83"/>
    <w:rsid w:val="00C8108E"/>
    <w:rsid w:val="00C811D9"/>
    <w:rsid w:val="00C823BA"/>
    <w:rsid w:val="00C840D3"/>
    <w:rsid w:val="00C900A1"/>
    <w:rsid w:val="00C90156"/>
    <w:rsid w:val="00C90738"/>
    <w:rsid w:val="00C9090F"/>
    <w:rsid w:val="00C922AD"/>
    <w:rsid w:val="00C93A12"/>
    <w:rsid w:val="00C93D37"/>
    <w:rsid w:val="00C95076"/>
    <w:rsid w:val="00C95CDC"/>
    <w:rsid w:val="00C974CB"/>
    <w:rsid w:val="00CA126E"/>
    <w:rsid w:val="00CA1396"/>
    <w:rsid w:val="00CA1BC8"/>
    <w:rsid w:val="00CA1CEC"/>
    <w:rsid w:val="00CA1ED7"/>
    <w:rsid w:val="00CA3EDC"/>
    <w:rsid w:val="00CA56A0"/>
    <w:rsid w:val="00CA5B6E"/>
    <w:rsid w:val="00CA6A28"/>
    <w:rsid w:val="00CB102D"/>
    <w:rsid w:val="00CB1CE5"/>
    <w:rsid w:val="00CB3209"/>
    <w:rsid w:val="00CB3836"/>
    <w:rsid w:val="00CB3D06"/>
    <w:rsid w:val="00CB4261"/>
    <w:rsid w:val="00CB7B14"/>
    <w:rsid w:val="00CC0B24"/>
    <w:rsid w:val="00CC1655"/>
    <w:rsid w:val="00CC2489"/>
    <w:rsid w:val="00CC3593"/>
    <w:rsid w:val="00CC409E"/>
    <w:rsid w:val="00CC5CCE"/>
    <w:rsid w:val="00CD043C"/>
    <w:rsid w:val="00CD3F22"/>
    <w:rsid w:val="00CD4A57"/>
    <w:rsid w:val="00CD6E18"/>
    <w:rsid w:val="00CE0B31"/>
    <w:rsid w:val="00CE294B"/>
    <w:rsid w:val="00CE3A3E"/>
    <w:rsid w:val="00CE5F99"/>
    <w:rsid w:val="00CE7393"/>
    <w:rsid w:val="00CE7E23"/>
    <w:rsid w:val="00CF0559"/>
    <w:rsid w:val="00CF2223"/>
    <w:rsid w:val="00CF2390"/>
    <w:rsid w:val="00CF58AE"/>
    <w:rsid w:val="00CF5914"/>
    <w:rsid w:val="00CF6D10"/>
    <w:rsid w:val="00CF7366"/>
    <w:rsid w:val="00CF7865"/>
    <w:rsid w:val="00CF7DA8"/>
    <w:rsid w:val="00D005FB"/>
    <w:rsid w:val="00D01288"/>
    <w:rsid w:val="00D025A8"/>
    <w:rsid w:val="00D03CD9"/>
    <w:rsid w:val="00D04414"/>
    <w:rsid w:val="00D05E0E"/>
    <w:rsid w:val="00D0699B"/>
    <w:rsid w:val="00D073B1"/>
    <w:rsid w:val="00D100D1"/>
    <w:rsid w:val="00D12C11"/>
    <w:rsid w:val="00D132EE"/>
    <w:rsid w:val="00D134AB"/>
    <w:rsid w:val="00D14C22"/>
    <w:rsid w:val="00D14D0B"/>
    <w:rsid w:val="00D1548C"/>
    <w:rsid w:val="00D15D53"/>
    <w:rsid w:val="00D171C3"/>
    <w:rsid w:val="00D17EBB"/>
    <w:rsid w:val="00D20284"/>
    <w:rsid w:val="00D2198F"/>
    <w:rsid w:val="00D23136"/>
    <w:rsid w:val="00D310B0"/>
    <w:rsid w:val="00D31823"/>
    <w:rsid w:val="00D34151"/>
    <w:rsid w:val="00D35554"/>
    <w:rsid w:val="00D37D83"/>
    <w:rsid w:val="00D40017"/>
    <w:rsid w:val="00D40D66"/>
    <w:rsid w:val="00D41545"/>
    <w:rsid w:val="00D41832"/>
    <w:rsid w:val="00D42446"/>
    <w:rsid w:val="00D451D6"/>
    <w:rsid w:val="00D4565B"/>
    <w:rsid w:val="00D457A8"/>
    <w:rsid w:val="00D474CB"/>
    <w:rsid w:val="00D5328B"/>
    <w:rsid w:val="00D532A5"/>
    <w:rsid w:val="00D552B2"/>
    <w:rsid w:val="00D60C9A"/>
    <w:rsid w:val="00D61B03"/>
    <w:rsid w:val="00D62579"/>
    <w:rsid w:val="00D649D7"/>
    <w:rsid w:val="00D64A29"/>
    <w:rsid w:val="00D65B37"/>
    <w:rsid w:val="00D65CF4"/>
    <w:rsid w:val="00D66715"/>
    <w:rsid w:val="00D67349"/>
    <w:rsid w:val="00D704FA"/>
    <w:rsid w:val="00D71261"/>
    <w:rsid w:val="00D72291"/>
    <w:rsid w:val="00D72542"/>
    <w:rsid w:val="00D735CA"/>
    <w:rsid w:val="00D7434C"/>
    <w:rsid w:val="00D77AA3"/>
    <w:rsid w:val="00D80090"/>
    <w:rsid w:val="00D819D3"/>
    <w:rsid w:val="00D831EA"/>
    <w:rsid w:val="00D83AE7"/>
    <w:rsid w:val="00D84737"/>
    <w:rsid w:val="00D87C2A"/>
    <w:rsid w:val="00D91BDE"/>
    <w:rsid w:val="00D93953"/>
    <w:rsid w:val="00D951AC"/>
    <w:rsid w:val="00D95631"/>
    <w:rsid w:val="00D9636B"/>
    <w:rsid w:val="00D9693E"/>
    <w:rsid w:val="00D972B2"/>
    <w:rsid w:val="00D974B9"/>
    <w:rsid w:val="00DA5461"/>
    <w:rsid w:val="00DA657A"/>
    <w:rsid w:val="00DA7AE0"/>
    <w:rsid w:val="00DB234D"/>
    <w:rsid w:val="00DB48A2"/>
    <w:rsid w:val="00DB56C9"/>
    <w:rsid w:val="00DB5BA7"/>
    <w:rsid w:val="00DB63A9"/>
    <w:rsid w:val="00DB698A"/>
    <w:rsid w:val="00DB7E3C"/>
    <w:rsid w:val="00DC008D"/>
    <w:rsid w:val="00DC0B33"/>
    <w:rsid w:val="00DC0ECB"/>
    <w:rsid w:val="00DC28E6"/>
    <w:rsid w:val="00DC37FA"/>
    <w:rsid w:val="00DC76D2"/>
    <w:rsid w:val="00DC7706"/>
    <w:rsid w:val="00DD0BA3"/>
    <w:rsid w:val="00DD4AE6"/>
    <w:rsid w:val="00DD6C12"/>
    <w:rsid w:val="00DE12E1"/>
    <w:rsid w:val="00DE2113"/>
    <w:rsid w:val="00DE399D"/>
    <w:rsid w:val="00DE3D5B"/>
    <w:rsid w:val="00DE6101"/>
    <w:rsid w:val="00DE6816"/>
    <w:rsid w:val="00DE6FAC"/>
    <w:rsid w:val="00DF0C62"/>
    <w:rsid w:val="00DF0D9D"/>
    <w:rsid w:val="00DF3A6E"/>
    <w:rsid w:val="00DF3CF2"/>
    <w:rsid w:val="00DF3EFB"/>
    <w:rsid w:val="00DF559D"/>
    <w:rsid w:val="00DF57B5"/>
    <w:rsid w:val="00DF5FAC"/>
    <w:rsid w:val="00DF6BAC"/>
    <w:rsid w:val="00E00B6C"/>
    <w:rsid w:val="00E01599"/>
    <w:rsid w:val="00E04D90"/>
    <w:rsid w:val="00E067B8"/>
    <w:rsid w:val="00E06BB1"/>
    <w:rsid w:val="00E074B6"/>
    <w:rsid w:val="00E10112"/>
    <w:rsid w:val="00E10589"/>
    <w:rsid w:val="00E1059B"/>
    <w:rsid w:val="00E12F6E"/>
    <w:rsid w:val="00E13B3E"/>
    <w:rsid w:val="00E17FF0"/>
    <w:rsid w:val="00E204AF"/>
    <w:rsid w:val="00E219C5"/>
    <w:rsid w:val="00E23DF3"/>
    <w:rsid w:val="00E30299"/>
    <w:rsid w:val="00E30882"/>
    <w:rsid w:val="00E338BB"/>
    <w:rsid w:val="00E35419"/>
    <w:rsid w:val="00E36209"/>
    <w:rsid w:val="00E40F5E"/>
    <w:rsid w:val="00E41145"/>
    <w:rsid w:val="00E412A0"/>
    <w:rsid w:val="00E41E2F"/>
    <w:rsid w:val="00E430A4"/>
    <w:rsid w:val="00E43545"/>
    <w:rsid w:val="00E4630C"/>
    <w:rsid w:val="00E46DB4"/>
    <w:rsid w:val="00E470DD"/>
    <w:rsid w:val="00E53A6E"/>
    <w:rsid w:val="00E54DF2"/>
    <w:rsid w:val="00E54F09"/>
    <w:rsid w:val="00E55217"/>
    <w:rsid w:val="00E5603B"/>
    <w:rsid w:val="00E6108B"/>
    <w:rsid w:val="00E6197B"/>
    <w:rsid w:val="00E61DD6"/>
    <w:rsid w:val="00E65B16"/>
    <w:rsid w:val="00E66B94"/>
    <w:rsid w:val="00E67055"/>
    <w:rsid w:val="00E67158"/>
    <w:rsid w:val="00E70112"/>
    <w:rsid w:val="00E70B83"/>
    <w:rsid w:val="00E70D6F"/>
    <w:rsid w:val="00E71D9F"/>
    <w:rsid w:val="00E76F32"/>
    <w:rsid w:val="00E80154"/>
    <w:rsid w:val="00E82998"/>
    <w:rsid w:val="00E85B4C"/>
    <w:rsid w:val="00E85CBE"/>
    <w:rsid w:val="00E86216"/>
    <w:rsid w:val="00E876F6"/>
    <w:rsid w:val="00E91166"/>
    <w:rsid w:val="00E9186A"/>
    <w:rsid w:val="00E92781"/>
    <w:rsid w:val="00E92E79"/>
    <w:rsid w:val="00E92F9C"/>
    <w:rsid w:val="00E965B0"/>
    <w:rsid w:val="00E96C69"/>
    <w:rsid w:val="00EA098D"/>
    <w:rsid w:val="00EA166B"/>
    <w:rsid w:val="00EA267C"/>
    <w:rsid w:val="00EA2BCF"/>
    <w:rsid w:val="00EA3D4E"/>
    <w:rsid w:val="00EA4659"/>
    <w:rsid w:val="00EA7F6E"/>
    <w:rsid w:val="00EB120D"/>
    <w:rsid w:val="00EB2BE0"/>
    <w:rsid w:val="00EB4552"/>
    <w:rsid w:val="00EB4D23"/>
    <w:rsid w:val="00EC2DBD"/>
    <w:rsid w:val="00EC53F1"/>
    <w:rsid w:val="00EC78F7"/>
    <w:rsid w:val="00ED11DE"/>
    <w:rsid w:val="00ED395D"/>
    <w:rsid w:val="00ED3BC0"/>
    <w:rsid w:val="00ED3D27"/>
    <w:rsid w:val="00ED4B34"/>
    <w:rsid w:val="00ED4E12"/>
    <w:rsid w:val="00ED4FF5"/>
    <w:rsid w:val="00ED53B2"/>
    <w:rsid w:val="00ED6222"/>
    <w:rsid w:val="00ED6FA4"/>
    <w:rsid w:val="00EE0F57"/>
    <w:rsid w:val="00EE122D"/>
    <w:rsid w:val="00EE1327"/>
    <w:rsid w:val="00EE1818"/>
    <w:rsid w:val="00EE3957"/>
    <w:rsid w:val="00EE4C0E"/>
    <w:rsid w:val="00EE67F8"/>
    <w:rsid w:val="00EF10F3"/>
    <w:rsid w:val="00EF135D"/>
    <w:rsid w:val="00EF4DC5"/>
    <w:rsid w:val="00EF54A0"/>
    <w:rsid w:val="00EF5CD4"/>
    <w:rsid w:val="00EF6A5E"/>
    <w:rsid w:val="00F02BCF"/>
    <w:rsid w:val="00F04203"/>
    <w:rsid w:val="00F06E4E"/>
    <w:rsid w:val="00F07B82"/>
    <w:rsid w:val="00F10B1D"/>
    <w:rsid w:val="00F10DD7"/>
    <w:rsid w:val="00F11771"/>
    <w:rsid w:val="00F12D45"/>
    <w:rsid w:val="00F13A59"/>
    <w:rsid w:val="00F150F3"/>
    <w:rsid w:val="00F20E5C"/>
    <w:rsid w:val="00F25381"/>
    <w:rsid w:val="00F27E03"/>
    <w:rsid w:val="00F302B1"/>
    <w:rsid w:val="00F3030C"/>
    <w:rsid w:val="00F31536"/>
    <w:rsid w:val="00F31EB2"/>
    <w:rsid w:val="00F31F96"/>
    <w:rsid w:val="00F348C2"/>
    <w:rsid w:val="00F359A4"/>
    <w:rsid w:val="00F361CC"/>
    <w:rsid w:val="00F369EC"/>
    <w:rsid w:val="00F37282"/>
    <w:rsid w:val="00F4164B"/>
    <w:rsid w:val="00F43F1D"/>
    <w:rsid w:val="00F44A5A"/>
    <w:rsid w:val="00F534F0"/>
    <w:rsid w:val="00F54D87"/>
    <w:rsid w:val="00F55573"/>
    <w:rsid w:val="00F5637D"/>
    <w:rsid w:val="00F56620"/>
    <w:rsid w:val="00F5769A"/>
    <w:rsid w:val="00F62C2F"/>
    <w:rsid w:val="00F67551"/>
    <w:rsid w:val="00F67EDB"/>
    <w:rsid w:val="00F70205"/>
    <w:rsid w:val="00F7418A"/>
    <w:rsid w:val="00F74622"/>
    <w:rsid w:val="00F7707D"/>
    <w:rsid w:val="00F775DD"/>
    <w:rsid w:val="00F7762A"/>
    <w:rsid w:val="00F82039"/>
    <w:rsid w:val="00F821D3"/>
    <w:rsid w:val="00F82D9D"/>
    <w:rsid w:val="00F83508"/>
    <w:rsid w:val="00F85AE3"/>
    <w:rsid w:val="00F90262"/>
    <w:rsid w:val="00F906C5"/>
    <w:rsid w:val="00F90EA1"/>
    <w:rsid w:val="00F91A33"/>
    <w:rsid w:val="00F92220"/>
    <w:rsid w:val="00F923FD"/>
    <w:rsid w:val="00F93B20"/>
    <w:rsid w:val="00F94ECC"/>
    <w:rsid w:val="00F9574D"/>
    <w:rsid w:val="00F97C6C"/>
    <w:rsid w:val="00FA0711"/>
    <w:rsid w:val="00FA1FF4"/>
    <w:rsid w:val="00FA206D"/>
    <w:rsid w:val="00FA2834"/>
    <w:rsid w:val="00FA3C3C"/>
    <w:rsid w:val="00FA4DBE"/>
    <w:rsid w:val="00FA509B"/>
    <w:rsid w:val="00FA54C3"/>
    <w:rsid w:val="00FA66B9"/>
    <w:rsid w:val="00FA77EE"/>
    <w:rsid w:val="00FA7E26"/>
    <w:rsid w:val="00FB1505"/>
    <w:rsid w:val="00FB2443"/>
    <w:rsid w:val="00FB3A74"/>
    <w:rsid w:val="00FB5A1D"/>
    <w:rsid w:val="00FB6E62"/>
    <w:rsid w:val="00FB76EF"/>
    <w:rsid w:val="00FC0844"/>
    <w:rsid w:val="00FC1A93"/>
    <w:rsid w:val="00FC2749"/>
    <w:rsid w:val="00FC28C6"/>
    <w:rsid w:val="00FC444A"/>
    <w:rsid w:val="00FC4D7F"/>
    <w:rsid w:val="00FC65E9"/>
    <w:rsid w:val="00FC6AFF"/>
    <w:rsid w:val="00FC71AA"/>
    <w:rsid w:val="00FD007E"/>
    <w:rsid w:val="00FD2322"/>
    <w:rsid w:val="00FD3478"/>
    <w:rsid w:val="00FD40FB"/>
    <w:rsid w:val="00FD4AEA"/>
    <w:rsid w:val="00FD6475"/>
    <w:rsid w:val="00FD76E7"/>
    <w:rsid w:val="00FE0276"/>
    <w:rsid w:val="00FE1707"/>
    <w:rsid w:val="00FE1BFD"/>
    <w:rsid w:val="00FE2390"/>
    <w:rsid w:val="00FE338A"/>
    <w:rsid w:val="00FE724E"/>
    <w:rsid w:val="00FE7B61"/>
    <w:rsid w:val="00FF000D"/>
    <w:rsid w:val="00FF048A"/>
    <w:rsid w:val="00FF0869"/>
    <w:rsid w:val="00FF1612"/>
    <w:rsid w:val="00FF23F3"/>
    <w:rsid w:val="00FF2DA7"/>
    <w:rsid w:val="00FF5E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uiPriority="0" w:qFormat="1"/>
    <w:lsdException w:name="heading 6" w:locked="1" w:semiHidden="0" w:unhideWhenUsed="0" w:qFormat="1"/>
    <w:lsdException w:name="heading 7" w:locked="1" w:semiHidden="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HTML Typewriter" w:uiPriority="0"/>
    <w:lsdException w:name="Table Grid" w:locked="1" w:semiHidden="0" w:uiPriority="0"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5B5908"/>
    <w:rPr>
      <w:sz w:val="24"/>
      <w:szCs w:val="24"/>
    </w:rPr>
  </w:style>
  <w:style w:type="paragraph" w:styleId="Heading1">
    <w:name w:val="heading 1"/>
    <w:basedOn w:val="Normal"/>
    <w:next w:val="Normal"/>
    <w:link w:val="Heading1Char"/>
    <w:uiPriority w:val="99"/>
    <w:qFormat/>
    <w:rsid w:val="005B5908"/>
    <w:pPr>
      <w:keepNext/>
      <w:ind w:firstLine="432"/>
      <w:jc w:val="center"/>
      <w:outlineLvl w:val="0"/>
    </w:pPr>
    <w:rPr>
      <w:rFonts w:ascii="Cambria" w:hAnsi="Cambria"/>
      <w:b/>
      <w:bCs/>
      <w:kern w:val="32"/>
      <w:sz w:val="32"/>
      <w:szCs w:val="32"/>
    </w:rPr>
  </w:style>
  <w:style w:type="paragraph" w:styleId="Heading2">
    <w:name w:val="heading 2"/>
    <w:basedOn w:val="Normal"/>
    <w:link w:val="Heading2Char"/>
    <w:uiPriority w:val="99"/>
    <w:qFormat/>
    <w:rsid w:val="005B5908"/>
    <w:pPr>
      <w:spacing w:before="100" w:beforeAutospacing="1" w:after="100" w:afterAutospacing="1"/>
      <w:outlineLvl w:val="1"/>
    </w:pPr>
    <w:rPr>
      <w:rFonts w:ascii="Cambria" w:hAnsi="Cambria"/>
      <w:b/>
      <w:bCs/>
      <w:i/>
      <w:iCs/>
      <w:sz w:val="28"/>
      <w:szCs w:val="28"/>
    </w:rPr>
  </w:style>
  <w:style w:type="paragraph" w:styleId="Heading3">
    <w:name w:val="heading 3"/>
    <w:basedOn w:val="Normal"/>
    <w:link w:val="Heading3Char"/>
    <w:uiPriority w:val="99"/>
    <w:qFormat/>
    <w:rsid w:val="005B5908"/>
    <w:pPr>
      <w:spacing w:before="100" w:beforeAutospacing="1" w:after="100" w:afterAutospacing="1"/>
      <w:outlineLvl w:val="2"/>
    </w:pPr>
    <w:rPr>
      <w:rFonts w:ascii="Cambria" w:hAnsi="Cambria"/>
      <w:b/>
      <w:bCs/>
      <w:sz w:val="26"/>
      <w:szCs w:val="26"/>
    </w:rPr>
  </w:style>
  <w:style w:type="paragraph" w:styleId="Heading4">
    <w:name w:val="heading 4"/>
    <w:basedOn w:val="Normal"/>
    <w:link w:val="Heading4Char"/>
    <w:uiPriority w:val="99"/>
    <w:qFormat/>
    <w:rsid w:val="005B5908"/>
    <w:pPr>
      <w:spacing w:before="100" w:beforeAutospacing="1" w:after="100" w:afterAutospacing="1"/>
      <w:outlineLvl w:val="3"/>
    </w:pPr>
    <w:rPr>
      <w:rFonts w:ascii="Calibri" w:hAnsi="Calibri"/>
      <w:b/>
      <w:bCs/>
      <w:sz w:val="28"/>
      <w:szCs w:val="28"/>
    </w:rPr>
  </w:style>
  <w:style w:type="paragraph" w:styleId="Heading6">
    <w:name w:val="heading 6"/>
    <w:basedOn w:val="Normal"/>
    <w:next w:val="Normal"/>
    <w:link w:val="Heading6Char"/>
    <w:uiPriority w:val="99"/>
    <w:qFormat/>
    <w:rsid w:val="005B5908"/>
    <w:pPr>
      <w:keepNext/>
      <w:spacing w:before="60" w:after="60" w:line="250" w:lineRule="exact"/>
      <w:ind w:left="432"/>
      <w:outlineLvl w:val="5"/>
    </w:pPr>
    <w:rPr>
      <w:rFonts w:ascii="Calibri" w:hAnsi="Calibri"/>
      <w:b/>
      <w:bCs/>
      <w:sz w:val="20"/>
      <w:szCs w:val="20"/>
    </w:rPr>
  </w:style>
  <w:style w:type="paragraph" w:styleId="Heading7">
    <w:name w:val="heading 7"/>
    <w:basedOn w:val="Normal"/>
    <w:next w:val="Normal"/>
    <w:link w:val="Heading7Char"/>
    <w:uiPriority w:val="99"/>
    <w:qFormat/>
    <w:rsid w:val="005B5908"/>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ind w:left="432"/>
      <w:outlineLvl w:val="6"/>
    </w:pPr>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02E85"/>
    <w:rPr>
      <w:rFonts w:ascii="Cambria" w:hAnsi="Cambria" w:cs="Times New Roman"/>
      <w:b/>
      <w:bCs/>
      <w:kern w:val="32"/>
      <w:sz w:val="32"/>
      <w:szCs w:val="32"/>
    </w:rPr>
  </w:style>
  <w:style w:type="character" w:customStyle="1" w:styleId="Heading2Char">
    <w:name w:val="Heading 2 Char"/>
    <w:link w:val="Heading2"/>
    <w:uiPriority w:val="99"/>
    <w:semiHidden/>
    <w:locked/>
    <w:rsid w:val="00002E85"/>
    <w:rPr>
      <w:rFonts w:ascii="Cambria" w:hAnsi="Cambria" w:cs="Times New Roman"/>
      <w:b/>
      <w:bCs/>
      <w:i/>
      <w:iCs/>
      <w:sz w:val="28"/>
      <w:szCs w:val="28"/>
    </w:rPr>
  </w:style>
  <w:style w:type="character" w:customStyle="1" w:styleId="Heading3Char">
    <w:name w:val="Heading 3 Char"/>
    <w:link w:val="Heading3"/>
    <w:uiPriority w:val="99"/>
    <w:locked/>
    <w:rsid w:val="00002E85"/>
    <w:rPr>
      <w:rFonts w:ascii="Cambria" w:hAnsi="Cambria" w:cs="Times New Roman"/>
      <w:b/>
      <w:bCs/>
      <w:sz w:val="26"/>
      <w:szCs w:val="26"/>
    </w:rPr>
  </w:style>
  <w:style w:type="character" w:customStyle="1" w:styleId="Heading4Char">
    <w:name w:val="Heading 4 Char"/>
    <w:link w:val="Heading4"/>
    <w:uiPriority w:val="99"/>
    <w:semiHidden/>
    <w:locked/>
    <w:rsid w:val="00002E85"/>
    <w:rPr>
      <w:rFonts w:ascii="Calibri" w:hAnsi="Calibri" w:cs="Times New Roman"/>
      <w:b/>
      <w:bCs/>
      <w:sz w:val="28"/>
      <w:szCs w:val="28"/>
    </w:rPr>
  </w:style>
  <w:style w:type="character" w:customStyle="1" w:styleId="Heading6Char">
    <w:name w:val="Heading 6 Char"/>
    <w:link w:val="Heading6"/>
    <w:uiPriority w:val="99"/>
    <w:semiHidden/>
    <w:locked/>
    <w:rsid w:val="00002E85"/>
    <w:rPr>
      <w:rFonts w:ascii="Calibri" w:hAnsi="Calibri" w:cs="Times New Roman"/>
      <w:b/>
      <w:bCs/>
    </w:rPr>
  </w:style>
  <w:style w:type="character" w:customStyle="1" w:styleId="Heading7Char">
    <w:name w:val="Heading 7 Char"/>
    <w:link w:val="Heading7"/>
    <w:uiPriority w:val="99"/>
    <w:semiHidden/>
    <w:locked/>
    <w:rsid w:val="00002E85"/>
    <w:rPr>
      <w:rFonts w:ascii="Calibri" w:hAnsi="Calibri" w:cs="Times New Roman"/>
      <w:sz w:val="24"/>
      <w:szCs w:val="24"/>
    </w:rPr>
  </w:style>
  <w:style w:type="paragraph" w:styleId="BalloonText">
    <w:name w:val="Balloon Text"/>
    <w:basedOn w:val="Normal"/>
    <w:link w:val="BalloonTextChar"/>
    <w:uiPriority w:val="99"/>
    <w:semiHidden/>
    <w:rsid w:val="005B5908"/>
    <w:rPr>
      <w:sz w:val="2"/>
      <w:szCs w:val="20"/>
    </w:rPr>
  </w:style>
  <w:style w:type="character" w:customStyle="1" w:styleId="BalloonTextChar">
    <w:name w:val="Balloon Text Char"/>
    <w:link w:val="BalloonText"/>
    <w:uiPriority w:val="99"/>
    <w:semiHidden/>
    <w:locked/>
    <w:rsid w:val="00002E85"/>
    <w:rPr>
      <w:rFonts w:cs="Times New Roman"/>
      <w:sz w:val="2"/>
    </w:rPr>
  </w:style>
  <w:style w:type="character" w:styleId="CommentReference">
    <w:name w:val="annotation reference"/>
    <w:semiHidden/>
    <w:rsid w:val="005B5908"/>
    <w:rPr>
      <w:rFonts w:cs="Times New Roman"/>
      <w:sz w:val="16"/>
    </w:rPr>
  </w:style>
  <w:style w:type="paragraph" w:styleId="Footer">
    <w:name w:val="footer"/>
    <w:basedOn w:val="Normal"/>
    <w:link w:val="FooterChar"/>
    <w:uiPriority w:val="99"/>
    <w:rsid w:val="005B5908"/>
    <w:pPr>
      <w:tabs>
        <w:tab w:val="center" w:pos="4320"/>
        <w:tab w:val="right" w:pos="8640"/>
      </w:tabs>
      <w:spacing w:before="60" w:after="60"/>
      <w:ind w:firstLine="432"/>
    </w:pPr>
  </w:style>
  <w:style w:type="character" w:customStyle="1" w:styleId="FooterChar">
    <w:name w:val="Footer Char"/>
    <w:link w:val="Footer"/>
    <w:uiPriority w:val="99"/>
    <w:locked/>
    <w:rsid w:val="00002E85"/>
    <w:rPr>
      <w:rFonts w:cs="Times New Roman"/>
      <w:sz w:val="24"/>
      <w:szCs w:val="24"/>
    </w:rPr>
  </w:style>
  <w:style w:type="character" w:styleId="PageNumber">
    <w:name w:val="page number"/>
    <w:uiPriority w:val="99"/>
    <w:rsid w:val="005B5908"/>
    <w:rPr>
      <w:rFonts w:cs="Times New Roman"/>
    </w:rPr>
  </w:style>
  <w:style w:type="paragraph" w:styleId="BodyText">
    <w:name w:val="Body Text"/>
    <w:basedOn w:val="Normal"/>
    <w:link w:val="BodyTextChar"/>
    <w:uiPriority w:val="99"/>
    <w:rsid w:val="005B5908"/>
    <w:pPr>
      <w:widowControl w:val="0"/>
    </w:pPr>
  </w:style>
  <w:style w:type="character" w:customStyle="1" w:styleId="BodyTextChar">
    <w:name w:val="Body Text Char"/>
    <w:link w:val="BodyText"/>
    <w:uiPriority w:val="99"/>
    <w:semiHidden/>
    <w:locked/>
    <w:rsid w:val="00002E85"/>
    <w:rPr>
      <w:rFonts w:cs="Times New Roman"/>
      <w:sz w:val="24"/>
      <w:szCs w:val="24"/>
    </w:rPr>
  </w:style>
  <w:style w:type="paragraph" w:styleId="Header">
    <w:name w:val="header"/>
    <w:basedOn w:val="Normal"/>
    <w:link w:val="HeaderChar"/>
    <w:uiPriority w:val="99"/>
    <w:rsid w:val="005B5908"/>
    <w:pPr>
      <w:tabs>
        <w:tab w:val="center" w:pos="4320"/>
        <w:tab w:val="right" w:pos="8640"/>
      </w:tabs>
      <w:spacing w:before="60" w:after="60"/>
      <w:ind w:firstLine="432"/>
    </w:pPr>
  </w:style>
  <w:style w:type="character" w:customStyle="1" w:styleId="HeaderChar">
    <w:name w:val="Header Char"/>
    <w:link w:val="Header"/>
    <w:uiPriority w:val="99"/>
    <w:locked/>
    <w:rsid w:val="00002E85"/>
    <w:rPr>
      <w:rFonts w:cs="Times New Roman"/>
      <w:sz w:val="24"/>
      <w:szCs w:val="24"/>
    </w:rPr>
  </w:style>
  <w:style w:type="character" w:customStyle="1" w:styleId="f">
    <w:name w:val="f"/>
    <w:uiPriority w:val="99"/>
    <w:rsid w:val="005B5908"/>
    <w:rPr>
      <w:rFonts w:cs="Times New Roman"/>
    </w:rPr>
  </w:style>
  <w:style w:type="paragraph" w:styleId="CommentText">
    <w:name w:val="annotation text"/>
    <w:basedOn w:val="Normal"/>
    <w:link w:val="CommentTextChar"/>
    <w:semiHidden/>
    <w:rsid w:val="005B5908"/>
    <w:rPr>
      <w:sz w:val="20"/>
      <w:szCs w:val="20"/>
    </w:rPr>
  </w:style>
  <w:style w:type="character" w:customStyle="1" w:styleId="CommentTextChar">
    <w:name w:val="Comment Text Char"/>
    <w:link w:val="CommentText"/>
    <w:semiHidden/>
    <w:locked/>
    <w:rsid w:val="00002E85"/>
    <w:rPr>
      <w:rFonts w:cs="Times New Roman"/>
      <w:sz w:val="20"/>
      <w:szCs w:val="20"/>
    </w:rPr>
  </w:style>
  <w:style w:type="paragraph" w:styleId="CommentSubject">
    <w:name w:val="annotation subject"/>
    <w:basedOn w:val="CommentText"/>
    <w:next w:val="CommentText"/>
    <w:link w:val="CommentSubjectChar"/>
    <w:uiPriority w:val="99"/>
    <w:semiHidden/>
    <w:rsid w:val="005B5908"/>
    <w:rPr>
      <w:b/>
      <w:bCs/>
    </w:rPr>
  </w:style>
  <w:style w:type="character" w:customStyle="1" w:styleId="CommentSubjectChar">
    <w:name w:val="Comment Subject Char"/>
    <w:link w:val="CommentSubject"/>
    <w:uiPriority w:val="99"/>
    <w:semiHidden/>
    <w:locked/>
    <w:rsid w:val="00002E85"/>
    <w:rPr>
      <w:rFonts w:cs="Times New Roman"/>
      <w:b/>
      <w:bCs/>
      <w:sz w:val="20"/>
      <w:szCs w:val="20"/>
    </w:rPr>
  </w:style>
  <w:style w:type="paragraph" w:customStyle="1" w:styleId="TableNormal1">
    <w:name w:val="Table Normal1"/>
    <w:basedOn w:val="Normal"/>
    <w:next w:val="Normal"/>
    <w:uiPriority w:val="99"/>
    <w:rsid w:val="005B5908"/>
    <w:pPr>
      <w:spacing w:before="60" w:after="60" w:line="480" w:lineRule="auto"/>
      <w:ind w:firstLine="432"/>
    </w:pPr>
    <w:rPr>
      <w:rFonts w:eastAsia="SimSun"/>
      <w:sz w:val="22"/>
      <w:szCs w:val="20"/>
    </w:rPr>
  </w:style>
  <w:style w:type="paragraph" w:styleId="FootnoteText">
    <w:name w:val="footnote text"/>
    <w:basedOn w:val="Normal"/>
    <w:link w:val="FootnoteTextChar"/>
    <w:uiPriority w:val="99"/>
    <w:semiHidden/>
    <w:rsid w:val="005B5908"/>
    <w:pPr>
      <w:spacing w:before="60" w:after="60"/>
      <w:ind w:firstLine="432"/>
    </w:pPr>
    <w:rPr>
      <w:sz w:val="20"/>
      <w:szCs w:val="20"/>
    </w:rPr>
  </w:style>
  <w:style w:type="character" w:customStyle="1" w:styleId="FootnoteTextChar">
    <w:name w:val="Footnote Text Char"/>
    <w:link w:val="FootnoteText"/>
    <w:uiPriority w:val="99"/>
    <w:semiHidden/>
    <w:locked/>
    <w:rsid w:val="00002E85"/>
    <w:rPr>
      <w:rFonts w:cs="Times New Roman"/>
      <w:sz w:val="20"/>
      <w:szCs w:val="20"/>
    </w:rPr>
  </w:style>
  <w:style w:type="character" w:styleId="Hyperlink">
    <w:name w:val="Hyperlink"/>
    <w:uiPriority w:val="99"/>
    <w:rsid w:val="005B5908"/>
    <w:rPr>
      <w:rFonts w:cs="Times New Roman"/>
      <w:color w:val="0000FF"/>
      <w:u w:val="single"/>
    </w:rPr>
  </w:style>
  <w:style w:type="paragraph" w:styleId="BodyTextIndent">
    <w:name w:val="Body Text Indent"/>
    <w:basedOn w:val="Normal"/>
    <w:link w:val="BodyTextIndentChar"/>
    <w:rsid w:val="005B5908"/>
    <w:pPr>
      <w:keepNext/>
      <w:widowControl w:val="0"/>
      <w:spacing w:line="360" w:lineRule="auto"/>
    </w:pPr>
  </w:style>
  <w:style w:type="character" w:customStyle="1" w:styleId="BodyTextIndentChar">
    <w:name w:val="Body Text Indent Char"/>
    <w:link w:val="BodyTextIndent"/>
    <w:locked/>
    <w:rsid w:val="00002E85"/>
    <w:rPr>
      <w:rFonts w:cs="Times New Roman"/>
      <w:sz w:val="24"/>
      <w:szCs w:val="24"/>
    </w:rPr>
  </w:style>
  <w:style w:type="paragraph" w:styleId="NormalWeb">
    <w:name w:val="Normal (Web)"/>
    <w:basedOn w:val="Normal"/>
    <w:uiPriority w:val="99"/>
    <w:rsid w:val="005B5908"/>
    <w:pPr>
      <w:spacing w:before="100" w:beforeAutospacing="1" w:after="100" w:afterAutospacing="1"/>
    </w:pPr>
    <w:rPr>
      <w:rFonts w:eastAsia="SimSun"/>
      <w:color w:val="000000"/>
    </w:rPr>
  </w:style>
  <w:style w:type="character" w:customStyle="1" w:styleId="listlinklink1">
    <w:name w:val="listlinklink1"/>
    <w:uiPriority w:val="99"/>
    <w:rsid w:val="005B5908"/>
    <w:rPr>
      <w:rFonts w:cs="Times New Roman"/>
      <w:sz w:val="18"/>
      <w:szCs w:val="18"/>
    </w:rPr>
  </w:style>
  <w:style w:type="character" w:customStyle="1" w:styleId="listlinkinfo1">
    <w:name w:val="listlinkinfo1"/>
    <w:uiPriority w:val="99"/>
    <w:rsid w:val="005B5908"/>
    <w:rPr>
      <w:rFonts w:ascii="Arial" w:hAnsi="Arial" w:cs="Arial"/>
      <w:color w:val="000000"/>
      <w:sz w:val="15"/>
      <w:szCs w:val="15"/>
    </w:rPr>
  </w:style>
  <w:style w:type="character" w:styleId="Emphasis">
    <w:name w:val="Emphasis"/>
    <w:qFormat/>
    <w:rsid w:val="005B5908"/>
    <w:rPr>
      <w:rFonts w:cs="Times New Roman"/>
      <w:i/>
      <w:iCs/>
    </w:rPr>
  </w:style>
  <w:style w:type="character" w:styleId="Strong">
    <w:name w:val="Strong"/>
    <w:qFormat/>
    <w:rsid w:val="005B5908"/>
    <w:rPr>
      <w:rFonts w:cs="Times New Roman"/>
      <w:b/>
      <w:bCs/>
    </w:rPr>
  </w:style>
  <w:style w:type="paragraph" w:styleId="BodyText2">
    <w:name w:val="Body Text 2"/>
    <w:basedOn w:val="Normal"/>
    <w:link w:val="BodyText2Char"/>
    <w:uiPriority w:val="99"/>
    <w:rsid w:val="005B5908"/>
    <w:pPr>
      <w:spacing w:line="360" w:lineRule="auto"/>
      <w:jc w:val="center"/>
    </w:pPr>
  </w:style>
  <w:style w:type="character" w:customStyle="1" w:styleId="BodyText2Char">
    <w:name w:val="Body Text 2 Char"/>
    <w:link w:val="BodyText2"/>
    <w:uiPriority w:val="99"/>
    <w:semiHidden/>
    <w:locked/>
    <w:rsid w:val="00002E85"/>
    <w:rPr>
      <w:rFonts w:cs="Times New Roman"/>
      <w:sz w:val="24"/>
      <w:szCs w:val="24"/>
    </w:rPr>
  </w:style>
  <w:style w:type="character" w:customStyle="1" w:styleId="bodytext1">
    <w:name w:val="bodytext1"/>
    <w:uiPriority w:val="99"/>
    <w:rsid w:val="005B5908"/>
    <w:rPr>
      <w:rFonts w:ascii="Verdana" w:hAnsi="Verdana" w:cs="Times New Roman"/>
      <w:color w:val="000000"/>
      <w:sz w:val="17"/>
      <w:szCs w:val="17"/>
    </w:rPr>
  </w:style>
  <w:style w:type="character" w:styleId="HTMLCite">
    <w:name w:val="HTML Cite"/>
    <w:uiPriority w:val="99"/>
    <w:rsid w:val="005B5908"/>
    <w:rPr>
      <w:rFonts w:cs="Times New Roman"/>
      <w:i/>
      <w:iCs/>
    </w:rPr>
  </w:style>
  <w:style w:type="character" w:customStyle="1" w:styleId="citation-abbreviation3">
    <w:name w:val="citation-abbreviation3"/>
    <w:uiPriority w:val="99"/>
    <w:rsid w:val="005B5908"/>
    <w:rPr>
      <w:rFonts w:cs="Times New Roman"/>
    </w:rPr>
  </w:style>
  <w:style w:type="character" w:customStyle="1" w:styleId="citation-publication-date">
    <w:name w:val="citation-publication-date"/>
    <w:uiPriority w:val="99"/>
    <w:rsid w:val="005B5908"/>
    <w:rPr>
      <w:rFonts w:cs="Times New Roman"/>
    </w:rPr>
  </w:style>
  <w:style w:type="character" w:customStyle="1" w:styleId="citation-volume">
    <w:name w:val="citation-volume"/>
    <w:uiPriority w:val="99"/>
    <w:rsid w:val="005B5908"/>
    <w:rPr>
      <w:rFonts w:cs="Times New Roman"/>
    </w:rPr>
  </w:style>
  <w:style w:type="character" w:customStyle="1" w:styleId="citation-issue">
    <w:name w:val="citation-issue"/>
    <w:uiPriority w:val="99"/>
    <w:rsid w:val="005B5908"/>
    <w:rPr>
      <w:rFonts w:cs="Times New Roman"/>
    </w:rPr>
  </w:style>
  <w:style w:type="character" w:customStyle="1" w:styleId="citation-flpages">
    <w:name w:val="citation-flpages"/>
    <w:uiPriority w:val="99"/>
    <w:rsid w:val="005B5908"/>
    <w:rPr>
      <w:rFonts w:cs="Times New Roman"/>
    </w:rPr>
  </w:style>
  <w:style w:type="character" w:customStyle="1" w:styleId="fm-citation-ids-label1">
    <w:name w:val="fm-citation-ids-label1"/>
    <w:uiPriority w:val="99"/>
    <w:rsid w:val="005B5908"/>
    <w:rPr>
      <w:rFonts w:cs="Times New Roman"/>
      <w:color w:val="666666"/>
    </w:rPr>
  </w:style>
  <w:style w:type="character" w:customStyle="1" w:styleId="fm-role1">
    <w:name w:val="fm-role1"/>
    <w:uiPriority w:val="99"/>
    <w:rsid w:val="005B5908"/>
    <w:rPr>
      <w:rFonts w:cs="Times New Roman"/>
      <w:i/>
      <w:iCs/>
    </w:rPr>
  </w:style>
  <w:style w:type="character" w:styleId="FollowedHyperlink">
    <w:name w:val="FollowedHyperlink"/>
    <w:uiPriority w:val="99"/>
    <w:rsid w:val="005B5908"/>
    <w:rPr>
      <w:rFonts w:cs="Times New Roman"/>
      <w:color w:val="800080"/>
      <w:u w:val="single"/>
    </w:rPr>
  </w:style>
  <w:style w:type="character" w:customStyle="1" w:styleId="ref-journal1">
    <w:name w:val="ref-journal1"/>
    <w:uiPriority w:val="99"/>
    <w:rsid w:val="005B5908"/>
    <w:rPr>
      <w:rFonts w:cs="Times New Roman"/>
      <w:i/>
      <w:iCs/>
    </w:rPr>
  </w:style>
  <w:style w:type="paragraph" w:styleId="PlainText">
    <w:name w:val="Plain Text"/>
    <w:basedOn w:val="Normal"/>
    <w:link w:val="PlainTextChar"/>
    <w:uiPriority w:val="99"/>
    <w:rsid w:val="005B5908"/>
    <w:rPr>
      <w:rFonts w:ascii="Courier New" w:hAnsi="Courier New"/>
      <w:sz w:val="20"/>
      <w:szCs w:val="20"/>
    </w:rPr>
  </w:style>
  <w:style w:type="character" w:customStyle="1" w:styleId="PlainTextChar">
    <w:name w:val="Plain Text Char"/>
    <w:link w:val="PlainText"/>
    <w:uiPriority w:val="99"/>
    <w:locked/>
    <w:rsid w:val="00002E85"/>
    <w:rPr>
      <w:rFonts w:ascii="Courier New" w:hAnsi="Courier New" w:cs="Courier New"/>
      <w:sz w:val="20"/>
      <w:szCs w:val="20"/>
    </w:rPr>
  </w:style>
  <w:style w:type="character" w:styleId="HTMLTypewriter">
    <w:name w:val="HTML Typewriter"/>
    <w:rsid w:val="005B5908"/>
    <w:rPr>
      <w:rFonts w:ascii="Courier New" w:hAnsi="Courier New" w:cs="MS Mincho"/>
      <w:sz w:val="20"/>
      <w:szCs w:val="20"/>
    </w:rPr>
  </w:style>
  <w:style w:type="paragraph" w:customStyle="1" w:styleId="CharChar">
    <w:name w:val="Char Char"/>
    <w:basedOn w:val="Normal"/>
    <w:uiPriority w:val="99"/>
    <w:rsid w:val="005B5908"/>
    <w:pPr>
      <w:spacing w:after="160" w:line="240" w:lineRule="exact"/>
    </w:pPr>
    <w:rPr>
      <w:rFonts w:ascii="Tahoma" w:eastAsia="SimSun" w:hAnsi="Tahoma"/>
      <w:sz w:val="20"/>
      <w:szCs w:val="20"/>
    </w:rPr>
  </w:style>
  <w:style w:type="character" w:customStyle="1" w:styleId="ti2">
    <w:name w:val="ti2"/>
    <w:rsid w:val="005B5908"/>
    <w:rPr>
      <w:rFonts w:cs="Times New Roman"/>
      <w:sz w:val="22"/>
      <w:szCs w:val="22"/>
    </w:rPr>
  </w:style>
  <w:style w:type="character" w:customStyle="1" w:styleId="featuredlinkouts">
    <w:name w:val="featured_linkouts"/>
    <w:uiPriority w:val="99"/>
    <w:rsid w:val="005B5908"/>
    <w:rPr>
      <w:rFonts w:cs="Times New Roman"/>
    </w:rPr>
  </w:style>
  <w:style w:type="character" w:customStyle="1" w:styleId="linkbar">
    <w:name w:val="linkbar"/>
    <w:uiPriority w:val="99"/>
    <w:rsid w:val="005B5908"/>
    <w:rPr>
      <w:rFonts w:cs="Times New Roman"/>
    </w:rPr>
  </w:style>
  <w:style w:type="paragraph" w:customStyle="1" w:styleId="reference">
    <w:name w:val="reference"/>
    <w:basedOn w:val="Normal"/>
    <w:uiPriority w:val="99"/>
    <w:rsid w:val="005B5908"/>
    <w:pPr>
      <w:spacing w:line="480" w:lineRule="auto"/>
      <w:ind w:left="720" w:hanging="720"/>
    </w:pPr>
    <w:rPr>
      <w:rFonts w:eastAsia="MS Mincho"/>
      <w:color w:val="000000"/>
    </w:rPr>
  </w:style>
  <w:style w:type="character" w:customStyle="1" w:styleId="caption1style1">
    <w:name w:val="caption1 style1"/>
    <w:uiPriority w:val="99"/>
    <w:rsid w:val="005B5908"/>
    <w:rPr>
      <w:rFonts w:cs="Times New Roman"/>
    </w:rPr>
  </w:style>
  <w:style w:type="paragraph" w:styleId="EndnoteText">
    <w:name w:val="endnote text"/>
    <w:basedOn w:val="Normal"/>
    <w:link w:val="EndnoteTextChar"/>
    <w:uiPriority w:val="99"/>
    <w:semiHidden/>
    <w:rsid w:val="005B5908"/>
    <w:pPr>
      <w:spacing w:before="60" w:after="60"/>
      <w:ind w:firstLine="432"/>
    </w:pPr>
    <w:rPr>
      <w:sz w:val="20"/>
      <w:szCs w:val="20"/>
    </w:rPr>
  </w:style>
  <w:style w:type="character" w:customStyle="1" w:styleId="EndnoteTextChar">
    <w:name w:val="Endnote Text Char"/>
    <w:link w:val="EndnoteText"/>
    <w:uiPriority w:val="99"/>
    <w:semiHidden/>
    <w:locked/>
    <w:rsid w:val="00002E85"/>
    <w:rPr>
      <w:rFonts w:cs="Times New Roman"/>
      <w:sz w:val="20"/>
      <w:szCs w:val="20"/>
    </w:rPr>
  </w:style>
  <w:style w:type="character" w:styleId="EndnoteReference">
    <w:name w:val="endnote reference"/>
    <w:uiPriority w:val="99"/>
    <w:semiHidden/>
    <w:rsid w:val="005B5908"/>
    <w:rPr>
      <w:rFonts w:cs="Times New Roman"/>
      <w:vertAlign w:val="superscript"/>
    </w:rPr>
  </w:style>
  <w:style w:type="paragraph" w:styleId="BodyTextIndent3">
    <w:name w:val="Body Text Indent 3"/>
    <w:basedOn w:val="Normal"/>
    <w:link w:val="BodyTextIndent3Char"/>
    <w:rsid w:val="005B5908"/>
    <w:pPr>
      <w:spacing w:line="360" w:lineRule="auto"/>
      <w:ind w:left="720" w:hanging="720"/>
    </w:pPr>
    <w:rPr>
      <w:sz w:val="16"/>
      <w:szCs w:val="16"/>
    </w:rPr>
  </w:style>
  <w:style w:type="character" w:customStyle="1" w:styleId="BodyTextIndent3Char">
    <w:name w:val="Body Text Indent 3 Char"/>
    <w:link w:val="BodyTextIndent3"/>
    <w:locked/>
    <w:rsid w:val="00002E85"/>
    <w:rPr>
      <w:rFonts w:cs="Times New Roman"/>
      <w:sz w:val="16"/>
      <w:szCs w:val="16"/>
    </w:rPr>
  </w:style>
  <w:style w:type="paragraph" w:customStyle="1" w:styleId="Default">
    <w:name w:val="Default"/>
    <w:rsid w:val="005B5908"/>
    <w:pPr>
      <w:autoSpaceDE w:val="0"/>
      <w:autoSpaceDN w:val="0"/>
      <w:adjustRightInd w:val="0"/>
    </w:pPr>
    <w:rPr>
      <w:color w:val="000000"/>
      <w:sz w:val="24"/>
      <w:szCs w:val="24"/>
    </w:rPr>
  </w:style>
  <w:style w:type="paragraph" w:customStyle="1" w:styleId="biblio">
    <w:name w:val="biblio"/>
    <w:basedOn w:val="Normal"/>
    <w:uiPriority w:val="99"/>
    <w:rsid w:val="005B5908"/>
    <w:pPr>
      <w:spacing w:before="100" w:beforeAutospacing="1" w:after="100" w:afterAutospacing="1"/>
    </w:pPr>
  </w:style>
  <w:style w:type="character" w:customStyle="1" w:styleId="seriestitle">
    <w:name w:val="seriestitle"/>
    <w:uiPriority w:val="99"/>
    <w:rsid w:val="005B5908"/>
    <w:rPr>
      <w:rFonts w:cs="Times New Roman"/>
    </w:rPr>
  </w:style>
  <w:style w:type="character" w:customStyle="1" w:styleId="black9pt">
    <w:name w:val="black9pt"/>
    <w:uiPriority w:val="99"/>
    <w:rsid w:val="005B5908"/>
    <w:rPr>
      <w:rFonts w:cs="Times New Roman"/>
    </w:rPr>
  </w:style>
  <w:style w:type="character" w:customStyle="1" w:styleId="smallcaps">
    <w:name w:val="smallcaps"/>
    <w:uiPriority w:val="99"/>
    <w:rsid w:val="005B5908"/>
    <w:rPr>
      <w:rFonts w:cs="Times New Roman"/>
    </w:rPr>
  </w:style>
  <w:style w:type="character" w:customStyle="1" w:styleId="listlinklink">
    <w:name w:val="listlinklink"/>
    <w:uiPriority w:val="99"/>
    <w:rsid w:val="005B5908"/>
    <w:rPr>
      <w:rFonts w:cs="Times New Roman"/>
    </w:rPr>
  </w:style>
  <w:style w:type="paragraph" w:styleId="BodyTextIndent2">
    <w:name w:val="Body Text Indent 2"/>
    <w:basedOn w:val="Normal"/>
    <w:link w:val="BodyTextIndent2Char"/>
    <w:uiPriority w:val="99"/>
    <w:rsid w:val="00EF135D"/>
    <w:pPr>
      <w:spacing w:line="360" w:lineRule="auto"/>
      <w:ind w:firstLine="720"/>
    </w:pPr>
  </w:style>
  <w:style w:type="character" w:customStyle="1" w:styleId="BodyTextIndent2Char">
    <w:name w:val="Body Text Indent 2 Char"/>
    <w:link w:val="BodyTextIndent2"/>
    <w:uiPriority w:val="99"/>
    <w:semiHidden/>
    <w:locked/>
    <w:rsid w:val="00002E85"/>
    <w:rPr>
      <w:rFonts w:cs="Times New Roman"/>
      <w:sz w:val="24"/>
      <w:szCs w:val="24"/>
    </w:rPr>
  </w:style>
  <w:style w:type="character" w:styleId="FootnoteReference">
    <w:name w:val="footnote reference"/>
    <w:uiPriority w:val="99"/>
    <w:semiHidden/>
    <w:rsid w:val="00EF135D"/>
    <w:rPr>
      <w:rFonts w:cs="Times New Roman"/>
      <w:vertAlign w:val="superscript"/>
    </w:rPr>
  </w:style>
  <w:style w:type="character" w:customStyle="1" w:styleId="briefcittitle">
    <w:name w:val="briefcittitle"/>
    <w:uiPriority w:val="99"/>
    <w:rsid w:val="003D29C4"/>
    <w:rPr>
      <w:rFonts w:cs="Times New Roman"/>
    </w:rPr>
  </w:style>
  <w:style w:type="character" w:customStyle="1" w:styleId="PlaceholderText1">
    <w:name w:val="Placeholder Text1"/>
    <w:uiPriority w:val="99"/>
    <w:semiHidden/>
    <w:rsid w:val="00B46A4E"/>
    <w:rPr>
      <w:rFonts w:cs="Times New Roman"/>
      <w:color w:val="808080"/>
    </w:rPr>
  </w:style>
  <w:style w:type="character" w:customStyle="1" w:styleId="cit-auth">
    <w:name w:val="cit-auth"/>
    <w:rsid w:val="00393AFA"/>
    <w:rPr>
      <w:rFonts w:cs="Times New Roman"/>
    </w:rPr>
  </w:style>
  <w:style w:type="character" w:customStyle="1" w:styleId="cit-name-surname">
    <w:name w:val="cit-name-surname"/>
    <w:uiPriority w:val="99"/>
    <w:rsid w:val="00393AFA"/>
    <w:rPr>
      <w:rFonts w:cs="Times New Roman"/>
    </w:rPr>
  </w:style>
  <w:style w:type="character" w:customStyle="1" w:styleId="cit-name-given-names">
    <w:name w:val="cit-name-given-names"/>
    <w:uiPriority w:val="99"/>
    <w:rsid w:val="00393AFA"/>
    <w:rPr>
      <w:rFonts w:cs="Times New Roman"/>
    </w:rPr>
  </w:style>
  <w:style w:type="character" w:customStyle="1" w:styleId="cit-article-title">
    <w:name w:val="cit-article-title"/>
    <w:uiPriority w:val="99"/>
    <w:rsid w:val="00393AFA"/>
    <w:rPr>
      <w:rFonts w:cs="Times New Roman"/>
    </w:rPr>
  </w:style>
  <w:style w:type="character" w:customStyle="1" w:styleId="cit-pub-date">
    <w:name w:val="cit-pub-date"/>
    <w:uiPriority w:val="99"/>
    <w:rsid w:val="00393AFA"/>
    <w:rPr>
      <w:rFonts w:cs="Times New Roman"/>
    </w:rPr>
  </w:style>
  <w:style w:type="character" w:customStyle="1" w:styleId="cit-vol">
    <w:name w:val="cit-vol"/>
    <w:rsid w:val="00393AFA"/>
    <w:rPr>
      <w:rFonts w:cs="Times New Roman"/>
    </w:rPr>
  </w:style>
  <w:style w:type="character" w:customStyle="1" w:styleId="cit-fpage">
    <w:name w:val="cit-fpage"/>
    <w:uiPriority w:val="99"/>
    <w:rsid w:val="00393AFA"/>
    <w:rPr>
      <w:rFonts w:cs="Times New Roman"/>
    </w:rPr>
  </w:style>
  <w:style w:type="character" w:customStyle="1" w:styleId="cit-lpage">
    <w:name w:val="cit-lpage"/>
    <w:uiPriority w:val="99"/>
    <w:rsid w:val="00393AFA"/>
    <w:rPr>
      <w:rFonts w:cs="Times New Roman"/>
    </w:rPr>
  </w:style>
  <w:style w:type="paragraph" w:customStyle="1" w:styleId="ColorfulShading-Accent11">
    <w:name w:val="Colorful Shading - Accent 11"/>
    <w:hidden/>
    <w:uiPriority w:val="99"/>
    <w:semiHidden/>
    <w:rsid w:val="003129AC"/>
    <w:rPr>
      <w:sz w:val="24"/>
      <w:szCs w:val="24"/>
    </w:rPr>
  </w:style>
  <w:style w:type="character" w:customStyle="1" w:styleId="cit-title">
    <w:name w:val="cit-title"/>
    <w:basedOn w:val="DefaultParagraphFont"/>
    <w:rsid w:val="00A511E9"/>
  </w:style>
  <w:style w:type="character" w:customStyle="1" w:styleId="cit-sep">
    <w:name w:val="cit-sep"/>
    <w:basedOn w:val="DefaultParagraphFont"/>
    <w:rsid w:val="00066FA2"/>
  </w:style>
  <w:style w:type="character" w:customStyle="1" w:styleId="cit-subtitle">
    <w:name w:val="cit-subtitle"/>
    <w:basedOn w:val="DefaultParagraphFont"/>
    <w:rsid w:val="001310BA"/>
  </w:style>
  <w:style w:type="character" w:customStyle="1" w:styleId="site-title">
    <w:name w:val="site-title"/>
    <w:basedOn w:val="DefaultParagraphFont"/>
    <w:rsid w:val="001310BA"/>
  </w:style>
  <w:style w:type="character" w:customStyle="1" w:styleId="cit-elocation">
    <w:name w:val="cit-elocation"/>
    <w:basedOn w:val="DefaultParagraphFont"/>
    <w:rsid w:val="001310BA"/>
  </w:style>
  <w:style w:type="character" w:customStyle="1" w:styleId="cit-ahead-of-print-date">
    <w:name w:val="cit-ahead-of-print-date"/>
    <w:basedOn w:val="DefaultParagraphFont"/>
    <w:rsid w:val="001310BA"/>
  </w:style>
  <w:style w:type="character" w:customStyle="1" w:styleId="cit-doi">
    <w:name w:val="cit-doi"/>
    <w:basedOn w:val="DefaultParagraphFont"/>
    <w:rsid w:val="001310BA"/>
  </w:style>
  <w:style w:type="character" w:customStyle="1" w:styleId="slug-vol">
    <w:name w:val="slug-vol"/>
    <w:basedOn w:val="DefaultParagraphFont"/>
    <w:uiPriority w:val="99"/>
    <w:rsid w:val="003F1D39"/>
    <w:rPr>
      <w:rFonts w:cs="Times New Roman"/>
    </w:rPr>
  </w:style>
  <w:style w:type="character" w:customStyle="1" w:styleId="slug-issue">
    <w:name w:val="slug-issue"/>
    <w:basedOn w:val="DefaultParagraphFont"/>
    <w:uiPriority w:val="99"/>
    <w:rsid w:val="003F1D39"/>
    <w:rPr>
      <w:rFonts w:cs="Times New Roman"/>
    </w:rPr>
  </w:style>
  <w:style w:type="character" w:customStyle="1" w:styleId="slug-pages">
    <w:name w:val="slug-pages"/>
    <w:basedOn w:val="DefaultParagraphFont"/>
    <w:uiPriority w:val="99"/>
    <w:rsid w:val="003F1D39"/>
    <w:rPr>
      <w:rFonts w:cs="Times New Roman"/>
    </w:rPr>
  </w:style>
  <w:style w:type="paragraph" w:styleId="Revision">
    <w:name w:val="Revision"/>
    <w:hidden/>
    <w:uiPriority w:val="71"/>
    <w:rsid w:val="00AA784C"/>
    <w:rPr>
      <w:sz w:val="24"/>
      <w:szCs w:val="24"/>
    </w:rPr>
  </w:style>
  <w:style w:type="character" w:customStyle="1" w:styleId="style7">
    <w:name w:val="style_7"/>
    <w:basedOn w:val="DefaultParagraphFont"/>
    <w:rsid w:val="00AB71EF"/>
  </w:style>
  <w:style w:type="character" w:customStyle="1" w:styleId="spelle">
    <w:name w:val="spelle"/>
    <w:basedOn w:val="DefaultParagraphFont"/>
    <w:rsid w:val="00E067B8"/>
  </w:style>
  <w:style w:type="character" w:customStyle="1" w:styleId="reference-text">
    <w:name w:val="reference-text"/>
    <w:basedOn w:val="DefaultParagraphFont"/>
    <w:rsid w:val="00207253"/>
  </w:style>
  <w:style w:type="character" w:customStyle="1" w:styleId="apple-converted-space">
    <w:name w:val="apple-converted-space"/>
    <w:basedOn w:val="DefaultParagraphFont"/>
    <w:rsid w:val="00B7056F"/>
  </w:style>
  <w:style w:type="character" w:customStyle="1" w:styleId="cit-first-page">
    <w:name w:val="cit-first-page"/>
    <w:basedOn w:val="DefaultParagraphFont"/>
    <w:rsid w:val="00B7056F"/>
  </w:style>
  <w:style w:type="character" w:customStyle="1" w:styleId="cit-last-page">
    <w:name w:val="cit-last-page"/>
    <w:basedOn w:val="DefaultParagraphFont"/>
    <w:rsid w:val="00B7056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3934252">
      <w:bodyDiv w:val="1"/>
      <w:marLeft w:val="0"/>
      <w:marRight w:val="0"/>
      <w:marTop w:val="0"/>
      <w:marBottom w:val="0"/>
      <w:divBdr>
        <w:top w:val="none" w:sz="0" w:space="0" w:color="auto"/>
        <w:left w:val="none" w:sz="0" w:space="0" w:color="auto"/>
        <w:bottom w:val="none" w:sz="0" w:space="0" w:color="auto"/>
        <w:right w:val="none" w:sz="0" w:space="0" w:color="auto"/>
      </w:divBdr>
    </w:div>
    <w:div w:id="1895775446">
      <w:bodyDiv w:val="1"/>
      <w:marLeft w:val="0"/>
      <w:marRight w:val="0"/>
      <w:marTop w:val="0"/>
      <w:marBottom w:val="0"/>
      <w:divBdr>
        <w:top w:val="none" w:sz="0" w:space="0" w:color="auto"/>
        <w:left w:val="none" w:sz="0" w:space="0" w:color="auto"/>
        <w:bottom w:val="none" w:sz="0" w:space="0" w:color="auto"/>
        <w:right w:val="none" w:sz="0" w:space="0" w:color="auto"/>
      </w:divBdr>
    </w:div>
    <w:div w:id="1896625812">
      <w:bodyDiv w:val="1"/>
      <w:marLeft w:val="0"/>
      <w:marRight w:val="0"/>
      <w:marTop w:val="0"/>
      <w:marBottom w:val="0"/>
      <w:divBdr>
        <w:top w:val="none" w:sz="0" w:space="0" w:color="auto"/>
        <w:left w:val="none" w:sz="0" w:space="0" w:color="auto"/>
        <w:bottom w:val="none" w:sz="0" w:space="0" w:color="auto"/>
        <w:right w:val="none" w:sz="0" w:space="0" w:color="auto"/>
      </w:divBdr>
    </w:div>
    <w:div w:id="1994136492">
      <w:marLeft w:val="0"/>
      <w:marRight w:val="0"/>
      <w:marTop w:val="0"/>
      <w:marBottom w:val="0"/>
      <w:divBdr>
        <w:top w:val="none" w:sz="0" w:space="0" w:color="auto"/>
        <w:left w:val="none" w:sz="0" w:space="0" w:color="auto"/>
        <w:bottom w:val="none" w:sz="0" w:space="0" w:color="auto"/>
        <w:right w:val="none" w:sz="0" w:space="0" w:color="auto"/>
      </w:divBdr>
      <w:divsChild>
        <w:div w:id="1994136493">
          <w:marLeft w:val="0"/>
          <w:marRight w:val="0"/>
          <w:marTop w:val="0"/>
          <w:marBottom w:val="0"/>
          <w:divBdr>
            <w:top w:val="none" w:sz="0" w:space="0" w:color="auto"/>
            <w:left w:val="none" w:sz="0" w:space="0" w:color="auto"/>
            <w:bottom w:val="none" w:sz="0" w:space="0" w:color="auto"/>
            <w:right w:val="none" w:sz="0" w:space="0" w:color="auto"/>
          </w:divBdr>
        </w:div>
      </w:divsChild>
    </w:div>
    <w:div w:id="1994136494">
      <w:marLeft w:val="0"/>
      <w:marRight w:val="0"/>
      <w:marTop w:val="0"/>
      <w:marBottom w:val="0"/>
      <w:divBdr>
        <w:top w:val="none" w:sz="0" w:space="0" w:color="auto"/>
        <w:left w:val="none" w:sz="0" w:space="0" w:color="auto"/>
        <w:bottom w:val="none" w:sz="0" w:space="0" w:color="auto"/>
        <w:right w:val="none" w:sz="0" w:space="0" w:color="auto"/>
      </w:divBdr>
      <w:divsChild>
        <w:div w:id="1994136496">
          <w:marLeft w:val="0"/>
          <w:marRight w:val="0"/>
          <w:marTop w:val="0"/>
          <w:marBottom w:val="0"/>
          <w:divBdr>
            <w:top w:val="none" w:sz="0" w:space="0" w:color="auto"/>
            <w:left w:val="none" w:sz="0" w:space="0" w:color="auto"/>
            <w:bottom w:val="none" w:sz="0" w:space="0" w:color="auto"/>
            <w:right w:val="none" w:sz="0" w:space="0" w:color="auto"/>
          </w:divBdr>
        </w:div>
      </w:divsChild>
    </w:div>
    <w:div w:id="1994136495">
      <w:marLeft w:val="0"/>
      <w:marRight w:val="0"/>
      <w:marTop w:val="0"/>
      <w:marBottom w:val="0"/>
      <w:divBdr>
        <w:top w:val="none" w:sz="0" w:space="0" w:color="auto"/>
        <w:left w:val="none" w:sz="0" w:space="0" w:color="auto"/>
        <w:bottom w:val="none" w:sz="0" w:space="0" w:color="auto"/>
        <w:right w:val="none" w:sz="0" w:space="0" w:color="auto"/>
      </w:divBdr>
    </w:div>
    <w:div w:id="1994136497">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90.bin"/><Relationship Id="rId21" Type="http://schemas.openxmlformats.org/officeDocument/2006/relationships/oleObject" Target="embeddings/oleObject7.bin"/><Relationship Id="rId42" Type="http://schemas.openxmlformats.org/officeDocument/2006/relationships/oleObject" Target="embeddings/oleObject23.bin"/><Relationship Id="rId63" Type="http://schemas.openxmlformats.org/officeDocument/2006/relationships/oleObject" Target="embeddings/oleObject42.bin"/><Relationship Id="rId84" Type="http://schemas.openxmlformats.org/officeDocument/2006/relationships/oleObject" Target="embeddings/oleObject59.bin"/><Relationship Id="rId138" Type="http://schemas.openxmlformats.org/officeDocument/2006/relationships/hyperlink" Target="http://ftp.cs.ucla.edu/pub/stat_ser/r372.pdf" TargetMode="External"/><Relationship Id="rId159" Type="http://schemas.openxmlformats.org/officeDocument/2006/relationships/image" Target="media/image27.png"/><Relationship Id="rId107" Type="http://schemas.openxmlformats.org/officeDocument/2006/relationships/oleObject" Target="embeddings/oleObject80.bin"/><Relationship Id="rId11" Type="http://schemas.openxmlformats.org/officeDocument/2006/relationships/footer" Target="footer2.xml"/><Relationship Id="rId32" Type="http://schemas.openxmlformats.org/officeDocument/2006/relationships/oleObject" Target="embeddings/oleObject16.bin"/><Relationship Id="rId53" Type="http://schemas.openxmlformats.org/officeDocument/2006/relationships/oleObject" Target="embeddings/oleObject33.bin"/><Relationship Id="rId74" Type="http://schemas.openxmlformats.org/officeDocument/2006/relationships/oleObject" Target="embeddings/oleObject50.bin"/><Relationship Id="rId128" Type="http://schemas.openxmlformats.org/officeDocument/2006/relationships/oleObject" Target="embeddings/oleObject99.bin"/><Relationship Id="rId149" Type="http://schemas.openxmlformats.org/officeDocument/2006/relationships/oleObject" Target="embeddings/oleObject105.bin"/><Relationship Id="rId5" Type="http://schemas.openxmlformats.org/officeDocument/2006/relationships/settings" Target="settings.xml"/><Relationship Id="rId95" Type="http://schemas.openxmlformats.org/officeDocument/2006/relationships/oleObject" Target="embeddings/oleObject69.bin"/><Relationship Id="rId160" Type="http://schemas.openxmlformats.org/officeDocument/2006/relationships/image" Target="media/image28.png"/><Relationship Id="rId22" Type="http://schemas.openxmlformats.org/officeDocument/2006/relationships/oleObject" Target="embeddings/oleObject8.bin"/><Relationship Id="rId43" Type="http://schemas.openxmlformats.org/officeDocument/2006/relationships/oleObject" Target="embeddings/oleObject24.bin"/><Relationship Id="rId64" Type="http://schemas.openxmlformats.org/officeDocument/2006/relationships/image" Target="media/image10.wmf"/><Relationship Id="rId118" Type="http://schemas.openxmlformats.org/officeDocument/2006/relationships/oleObject" Target="embeddings/oleObject91.bin"/><Relationship Id="rId139" Type="http://schemas.openxmlformats.org/officeDocument/2006/relationships/hyperlink" Target="http://www.aera.net/publications/Default.aspx?menu_id=46&amp;id=3360" TargetMode="External"/><Relationship Id="rId85" Type="http://schemas.openxmlformats.org/officeDocument/2006/relationships/oleObject" Target="embeddings/oleObject60.bin"/><Relationship Id="rId150" Type="http://schemas.openxmlformats.org/officeDocument/2006/relationships/oleObject" Target="embeddings/oleObject106.bin"/><Relationship Id="rId12" Type="http://schemas.openxmlformats.org/officeDocument/2006/relationships/header" Target="header2.xml"/><Relationship Id="rId17" Type="http://schemas.openxmlformats.org/officeDocument/2006/relationships/oleObject" Target="embeddings/oleObject3.bin"/><Relationship Id="rId33" Type="http://schemas.openxmlformats.org/officeDocument/2006/relationships/image" Target="media/image5.wmf"/><Relationship Id="rId38" Type="http://schemas.openxmlformats.org/officeDocument/2006/relationships/oleObject" Target="embeddings/oleObject19.bin"/><Relationship Id="rId59" Type="http://schemas.openxmlformats.org/officeDocument/2006/relationships/oleObject" Target="embeddings/oleObject38.bin"/><Relationship Id="rId103" Type="http://schemas.openxmlformats.org/officeDocument/2006/relationships/oleObject" Target="embeddings/oleObject76.bin"/><Relationship Id="rId108" Type="http://schemas.openxmlformats.org/officeDocument/2006/relationships/oleObject" Target="embeddings/oleObject81.bin"/><Relationship Id="rId124" Type="http://schemas.openxmlformats.org/officeDocument/2006/relationships/oleObject" Target="embeddings/oleObject96.bin"/><Relationship Id="rId129" Type="http://schemas.openxmlformats.org/officeDocument/2006/relationships/oleObject" Target="embeddings/oleObject100.bin"/><Relationship Id="rId54" Type="http://schemas.openxmlformats.org/officeDocument/2006/relationships/oleObject" Target="embeddings/oleObject34.bin"/><Relationship Id="rId70" Type="http://schemas.openxmlformats.org/officeDocument/2006/relationships/oleObject" Target="embeddings/oleObject46.bin"/><Relationship Id="rId75" Type="http://schemas.openxmlformats.org/officeDocument/2006/relationships/oleObject" Target="embeddings/oleObject51.bin"/><Relationship Id="rId91" Type="http://schemas.openxmlformats.org/officeDocument/2006/relationships/oleObject" Target="embeddings/oleObject65.bin"/><Relationship Id="rId96" Type="http://schemas.openxmlformats.org/officeDocument/2006/relationships/oleObject" Target="embeddings/oleObject70.bin"/><Relationship Id="rId140" Type="http://schemas.openxmlformats.org/officeDocument/2006/relationships/hyperlink" Target="http://www.ed.gov/nclb/methods/whatworks/eb/edlite-index.html" TargetMode="External"/><Relationship Id="rId145" Type="http://schemas.openxmlformats.org/officeDocument/2006/relationships/image" Target="media/image20.wmf"/><Relationship Id="rId16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oleObject" Target="embeddings/oleObject9.bin"/><Relationship Id="rId28" Type="http://schemas.openxmlformats.org/officeDocument/2006/relationships/oleObject" Target="embeddings/oleObject13.bin"/><Relationship Id="rId49" Type="http://schemas.openxmlformats.org/officeDocument/2006/relationships/oleObject" Target="embeddings/oleObject29.bin"/><Relationship Id="rId114" Type="http://schemas.openxmlformats.org/officeDocument/2006/relationships/oleObject" Target="embeddings/oleObject87.bin"/><Relationship Id="rId119" Type="http://schemas.openxmlformats.org/officeDocument/2006/relationships/oleObject" Target="embeddings/oleObject92.bin"/><Relationship Id="rId44" Type="http://schemas.openxmlformats.org/officeDocument/2006/relationships/oleObject" Target="embeddings/oleObject25.bin"/><Relationship Id="rId60" Type="http://schemas.openxmlformats.org/officeDocument/2006/relationships/oleObject" Target="embeddings/oleObject39.bin"/><Relationship Id="rId65" Type="http://schemas.openxmlformats.org/officeDocument/2006/relationships/oleObject" Target="embeddings/oleObject43.bin"/><Relationship Id="rId81" Type="http://schemas.openxmlformats.org/officeDocument/2006/relationships/oleObject" Target="embeddings/oleObject56.bin"/><Relationship Id="rId86" Type="http://schemas.openxmlformats.org/officeDocument/2006/relationships/oleObject" Target="embeddings/oleObject61.bin"/><Relationship Id="rId130" Type="http://schemas.openxmlformats.org/officeDocument/2006/relationships/hyperlink" Target="http://nces.ed.gov/pubsearch/pubsinfo.asp?pubid=2002149" TargetMode="External"/><Relationship Id="rId135" Type="http://schemas.openxmlformats.org/officeDocument/2006/relationships/hyperlink" Target="http://www.ncbi.nlm.nih.gov/entrez/query.fcgi?db=pubmed&amp;cmd=Search&amp;itool=pubmed_AbstractPlus&amp;term=%22Kronmal+RA%22%5BAuthor%5D" TargetMode="External"/><Relationship Id="rId151" Type="http://schemas.openxmlformats.org/officeDocument/2006/relationships/hyperlink" Target="https://www.msu.edu/~kenfrank/research.htm" TargetMode="External"/><Relationship Id="rId156" Type="http://schemas.openxmlformats.org/officeDocument/2006/relationships/image" Target="media/image24.png"/><Relationship Id="rId13" Type="http://schemas.openxmlformats.org/officeDocument/2006/relationships/image" Target="media/image1.wmf"/><Relationship Id="rId18" Type="http://schemas.openxmlformats.org/officeDocument/2006/relationships/oleObject" Target="embeddings/oleObject4.bin"/><Relationship Id="rId39" Type="http://schemas.openxmlformats.org/officeDocument/2006/relationships/oleObject" Target="embeddings/oleObject20.bin"/><Relationship Id="rId109" Type="http://schemas.openxmlformats.org/officeDocument/2006/relationships/oleObject" Target="embeddings/oleObject82.bin"/><Relationship Id="rId34" Type="http://schemas.openxmlformats.org/officeDocument/2006/relationships/oleObject" Target="embeddings/oleObject17.bin"/><Relationship Id="rId50" Type="http://schemas.openxmlformats.org/officeDocument/2006/relationships/oleObject" Target="embeddings/oleObject30.bin"/><Relationship Id="rId55" Type="http://schemas.openxmlformats.org/officeDocument/2006/relationships/oleObject" Target="embeddings/oleObject35.bin"/><Relationship Id="rId76" Type="http://schemas.openxmlformats.org/officeDocument/2006/relationships/image" Target="media/image13.wmf"/><Relationship Id="rId97" Type="http://schemas.openxmlformats.org/officeDocument/2006/relationships/image" Target="media/image15.wmf"/><Relationship Id="rId104" Type="http://schemas.openxmlformats.org/officeDocument/2006/relationships/oleObject" Target="embeddings/oleObject77.bin"/><Relationship Id="rId120" Type="http://schemas.openxmlformats.org/officeDocument/2006/relationships/image" Target="media/image16.wmf"/><Relationship Id="rId125" Type="http://schemas.openxmlformats.org/officeDocument/2006/relationships/oleObject" Target="embeddings/oleObject97.bin"/><Relationship Id="rId141" Type="http://schemas.openxmlformats.org/officeDocument/2006/relationships/image" Target="media/image18.wmf"/><Relationship Id="rId146" Type="http://schemas.openxmlformats.org/officeDocument/2006/relationships/oleObject" Target="embeddings/oleObject103.bin"/><Relationship Id="rId7" Type="http://schemas.openxmlformats.org/officeDocument/2006/relationships/footnotes" Target="footnotes.xml"/><Relationship Id="rId71" Type="http://schemas.openxmlformats.org/officeDocument/2006/relationships/oleObject" Target="embeddings/oleObject47.bin"/><Relationship Id="rId92" Type="http://schemas.openxmlformats.org/officeDocument/2006/relationships/oleObject" Target="embeddings/oleObject66.bin"/><Relationship Id="rId162"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image" Target="media/image4.wmf"/><Relationship Id="rId24" Type="http://schemas.openxmlformats.org/officeDocument/2006/relationships/oleObject" Target="embeddings/oleObject10.bin"/><Relationship Id="rId40" Type="http://schemas.openxmlformats.org/officeDocument/2006/relationships/oleObject" Target="embeddings/oleObject21.bin"/><Relationship Id="rId45" Type="http://schemas.openxmlformats.org/officeDocument/2006/relationships/oleObject" Target="embeddings/oleObject26.bin"/><Relationship Id="rId66" Type="http://schemas.openxmlformats.org/officeDocument/2006/relationships/image" Target="media/image11.wmf"/><Relationship Id="rId87" Type="http://schemas.openxmlformats.org/officeDocument/2006/relationships/oleObject" Target="embeddings/oleObject62.bin"/><Relationship Id="rId110" Type="http://schemas.openxmlformats.org/officeDocument/2006/relationships/oleObject" Target="embeddings/oleObject83.bin"/><Relationship Id="rId115" Type="http://schemas.openxmlformats.org/officeDocument/2006/relationships/oleObject" Target="embeddings/oleObject88.bin"/><Relationship Id="rId131" Type="http://schemas.openxmlformats.org/officeDocument/2006/relationships/hyperlink" Target="http://catalog.lib.msu.edu/search%7ES39?/aFisher%2C+Ronald+Aylmer%2C+Sir%2C+1890-1962./afisher+ronald+aylmer+sir+1890+1962/1%2C1%2C41%2CB/frameset&amp;FF=afisher+ronald+aylmer+sir+1890+1962&amp;24%2C%2C41" TargetMode="External"/><Relationship Id="rId136" Type="http://schemas.openxmlformats.org/officeDocument/2006/relationships/hyperlink" Target="javascript:AL_get(this,%20'jour',%20'Biometrics.');" TargetMode="External"/><Relationship Id="rId157" Type="http://schemas.openxmlformats.org/officeDocument/2006/relationships/image" Target="media/image25.png"/><Relationship Id="rId61" Type="http://schemas.openxmlformats.org/officeDocument/2006/relationships/oleObject" Target="embeddings/oleObject40.bin"/><Relationship Id="rId82" Type="http://schemas.openxmlformats.org/officeDocument/2006/relationships/oleObject" Target="embeddings/oleObject57.bin"/><Relationship Id="rId152" Type="http://schemas.openxmlformats.org/officeDocument/2006/relationships/hyperlink" Target="https://www.msu.edu/~kenfrank/research.htm" TargetMode="External"/><Relationship Id="rId19" Type="http://schemas.openxmlformats.org/officeDocument/2006/relationships/oleObject" Target="embeddings/oleObject5.bin"/><Relationship Id="rId14" Type="http://schemas.openxmlformats.org/officeDocument/2006/relationships/oleObject" Target="embeddings/oleObject1.bin"/><Relationship Id="rId30" Type="http://schemas.openxmlformats.org/officeDocument/2006/relationships/oleObject" Target="embeddings/oleObject14.bin"/><Relationship Id="rId35" Type="http://schemas.openxmlformats.org/officeDocument/2006/relationships/image" Target="media/image6.wmf"/><Relationship Id="rId56" Type="http://schemas.openxmlformats.org/officeDocument/2006/relationships/image" Target="media/image9.wmf"/><Relationship Id="rId77" Type="http://schemas.openxmlformats.org/officeDocument/2006/relationships/oleObject" Target="embeddings/oleObject52.bin"/><Relationship Id="rId100" Type="http://schemas.openxmlformats.org/officeDocument/2006/relationships/oleObject" Target="embeddings/oleObject73.bin"/><Relationship Id="rId105" Type="http://schemas.openxmlformats.org/officeDocument/2006/relationships/oleObject" Target="embeddings/oleObject78.bin"/><Relationship Id="rId126" Type="http://schemas.openxmlformats.org/officeDocument/2006/relationships/oleObject" Target="embeddings/oleObject98.bin"/><Relationship Id="rId147" Type="http://schemas.openxmlformats.org/officeDocument/2006/relationships/image" Target="media/image21.wmf"/><Relationship Id="rId8" Type="http://schemas.openxmlformats.org/officeDocument/2006/relationships/endnotes" Target="endnotes.xml"/><Relationship Id="rId51" Type="http://schemas.openxmlformats.org/officeDocument/2006/relationships/oleObject" Target="embeddings/oleObject31.bin"/><Relationship Id="rId72" Type="http://schemas.openxmlformats.org/officeDocument/2006/relationships/oleObject" Target="embeddings/oleObject48.bin"/><Relationship Id="rId93" Type="http://schemas.openxmlformats.org/officeDocument/2006/relationships/oleObject" Target="embeddings/oleObject67.bin"/><Relationship Id="rId98" Type="http://schemas.openxmlformats.org/officeDocument/2006/relationships/oleObject" Target="embeddings/oleObject71.bin"/><Relationship Id="rId121" Type="http://schemas.openxmlformats.org/officeDocument/2006/relationships/oleObject" Target="embeddings/oleObject93.bin"/><Relationship Id="rId142" Type="http://schemas.openxmlformats.org/officeDocument/2006/relationships/oleObject" Target="embeddings/oleObject101.bin"/><Relationship Id="rId3" Type="http://schemas.openxmlformats.org/officeDocument/2006/relationships/styles" Target="styles.xml"/><Relationship Id="rId25" Type="http://schemas.openxmlformats.org/officeDocument/2006/relationships/oleObject" Target="embeddings/oleObject11.bin"/><Relationship Id="rId46" Type="http://schemas.openxmlformats.org/officeDocument/2006/relationships/oleObject" Target="embeddings/oleObject27.bin"/><Relationship Id="rId67" Type="http://schemas.openxmlformats.org/officeDocument/2006/relationships/oleObject" Target="embeddings/oleObject44.bin"/><Relationship Id="rId116" Type="http://schemas.openxmlformats.org/officeDocument/2006/relationships/oleObject" Target="embeddings/oleObject89.bin"/><Relationship Id="rId137" Type="http://schemas.openxmlformats.org/officeDocument/2006/relationships/hyperlink" Target="http://www.public.asu.edu/%7Esmarouli/Spiro_Maroulis/Research_files/science-edforum.pdf" TargetMode="External"/><Relationship Id="rId158" Type="http://schemas.openxmlformats.org/officeDocument/2006/relationships/image" Target="media/image26.emf"/><Relationship Id="rId20" Type="http://schemas.openxmlformats.org/officeDocument/2006/relationships/oleObject" Target="embeddings/oleObject6.bin"/><Relationship Id="rId41" Type="http://schemas.openxmlformats.org/officeDocument/2006/relationships/oleObject" Target="embeddings/oleObject22.bin"/><Relationship Id="rId62" Type="http://schemas.openxmlformats.org/officeDocument/2006/relationships/oleObject" Target="embeddings/oleObject41.bin"/><Relationship Id="rId83" Type="http://schemas.openxmlformats.org/officeDocument/2006/relationships/oleObject" Target="embeddings/oleObject58.bin"/><Relationship Id="rId88" Type="http://schemas.openxmlformats.org/officeDocument/2006/relationships/oleObject" Target="embeddings/oleObject63.bin"/><Relationship Id="rId111" Type="http://schemas.openxmlformats.org/officeDocument/2006/relationships/oleObject" Target="embeddings/oleObject84.bin"/><Relationship Id="rId132" Type="http://schemas.openxmlformats.org/officeDocument/2006/relationships/hyperlink" Target="http://steinhardt.nyu.edu/scmsAdmin/uploads/003/585/Generalization%20from%20Experiments-Hedges.pdf" TargetMode="External"/><Relationship Id="rId153" Type="http://schemas.openxmlformats.org/officeDocument/2006/relationships/image" Target="media/image22.emf"/><Relationship Id="rId15" Type="http://schemas.openxmlformats.org/officeDocument/2006/relationships/image" Target="media/image2.wmf"/><Relationship Id="rId36" Type="http://schemas.openxmlformats.org/officeDocument/2006/relationships/oleObject" Target="embeddings/oleObject18.bin"/><Relationship Id="rId57" Type="http://schemas.openxmlformats.org/officeDocument/2006/relationships/oleObject" Target="embeddings/oleObject36.bin"/><Relationship Id="rId106" Type="http://schemas.openxmlformats.org/officeDocument/2006/relationships/oleObject" Target="embeddings/oleObject79.bin"/><Relationship Id="rId127" Type="http://schemas.openxmlformats.org/officeDocument/2006/relationships/image" Target="media/image17.wmf"/><Relationship Id="rId10" Type="http://schemas.openxmlformats.org/officeDocument/2006/relationships/footer" Target="footer1.xml"/><Relationship Id="rId31" Type="http://schemas.openxmlformats.org/officeDocument/2006/relationships/oleObject" Target="embeddings/oleObject15.bin"/><Relationship Id="rId52" Type="http://schemas.openxmlformats.org/officeDocument/2006/relationships/oleObject" Target="embeddings/oleObject32.bin"/><Relationship Id="rId73" Type="http://schemas.openxmlformats.org/officeDocument/2006/relationships/oleObject" Target="embeddings/oleObject49.bin"/><Relationship Id="rId78" Type="http://schemas.openxmlformats.org/officeDocument/2006/relationships/oleObject" Target="embeddings/oleObject53.bin"/><Relationship Id="rId94" Type="http://schemas.openxmlformats.org/officeDocument/2006/relationships/oleObject" Target="embeddings/oleObject68.bin"/><Relationship Id="rId99" Type="http://schemas.openxmlformats.org/officeDocument/2006/relationships/oleObject" Target="embeddings/oleObject72.bin"/><Relationship Id="rId101" Type="http://schemas.openxmlformats.org/officeDocument/2006/relationships/oleObject" Target="embeddings/oleObject74.bin"/><Relationship Id="rId122" Type="http://schemas.openxmlformats.org/officeDocument/2006/relationships/oleObject" Target="embeddings/oleObject94.bin"/><Relationship Id="rId143" Type="http://schemas.openxmlformats.org/officeDocument/2006/relationships/image" Target="media/image19.wmf"/><Relationship Id="rId148" Type="http://schemas.openxmlformats.org/officeDocument/2006/relationships/oleObject" Target="embeddings/oleObject104.bin"/><Relationship Id="rId4" Type="http://schemas.microsoft.com/office/2007/relationships/stylesWithEffects" Target="stylesWithEffects.xml"/><Relationship Id="rId9" Type="http://schemas.openxmlformats.org/officeDocument/2006/relationships/header" Target="header1.xml"/><Relationship Id="rId26" Type="http://schemas.openxmlformats.org/officeDocument/2006/relationships/oleObject" Target="embeddings/oleObject12.bin"/><Relationship Id="rId47" Type="http://schemas.openxmlformats.org/officeDocument/2006/relationships/oleObject" Target="embeddings/oleObject28.bin"/><Relationship Id="rId68" Type="http://schemas.openxmlformats.org/officeDocument/2006/relationships/image" Target="media/image12.wmf"/><Relationship Id="rId89" Type="http://schemas.openxmlformats.org/officeDocument/2006/relationships/image" Target="media/image14.wmf"/><Relationship Id="rId112" Type="http://schemas.openxmlformats.org/officeDocument/2006/relationships/oleObject" Target="embeddings/oleObject85.bin"/><Relationship Id="rId133" Type="http://schemas.openxmlformats.org/officeDocument/2006/relationships/hyperlink" Target="http://www.ncbi.nlm.nih.gov/entrez/query.fcgi?db=pubmed&amp;cmd=Search&amp;itool=pubmed_AbstractPlus&amp;term=%22Lin+DY%22%5BAuthor%5D" TargetMode="External"/><Relationship Id="rId154" Type="http://schemas.openxmlformats.org/officeDocument/2006/relationships/oleObject" Target="embeddings/Microsoft_PowerPoint_97-2003_Presentation1.ppt"/><Relationship Id="rId16" Type="http://schemas.openxmlformats.org/officeDocument/2006/relationships/oleObject" Target="embeddings/oleObject2.bin"/><Relationship Id="rId37" Type="http://schemas.openxmlformats.org/officeDocument/2006/relationships/image" Target="media/image7.wmf"/><Relationship Id="rId58" Type="http://schemas.openxmlformats.org/officeDocument/2006/relationships/oleObject" Target="embeddings/oleObject37.bin"/><Relationship Id="rId79" Type="http://schemas.openxmlformats.org/officeDocument/2006/relationships/oleObject" Target="embeddings/oleObject54.bin"/><Relationship Id="rId102" Type="http://schemas.openxmlformats.org/officeDocument/2006/relationships/oleObject" Target="embeddings/oleObject75.bin"/><Relationship Id="rId123" Type="http://schemas.openxmlformats.org/officeDocument/2006/relationships/oleObject" Target="embeddings/oleObject95.bin"/><Relationship Id="rId144" Type="http://schemas.openxmlformats.org/officeDocument/2006/relationships/oleObject" Target="embeddings/oleObject102.bin"/><Relationship Id="rId90" Type="http://schemas.openxmlformats.org/officeDocument/2006/relationships/oleObject" Target="embeddings/oleObject64.bin"/><Relationship Id="rId27" Type="http://schemas.openxmlformats.org/officeDocument/2006/relationships/image" Target="media/image3.wmf"/><Relationship Id="rId48" Type="http://schemas.openxmlformats.org/officeDocument/2006/relationships/image" Target="media/image8.wmf"/><Relationship Id="rId69" Type="http://schemas.openxmlformats.org/officeDocument/2006/relationships/oleObject" Target="embeddings/oleObject45.bin"/><Relationship Id="rId113" Type="http://schemas.openxmlformats.org/officeDocument/2006/relationships/oleObject" Target="embeddings/oleObject86.bin"/><Relationship Id="rId134" Type="http://schemas.openxmlformats.org/officeDocument/2006/relationships/hyperlink" Target="http://www.ncbi.nlm.nih.gov/entrez/query.fcgi?db=pubmed&amp;cmd=Search&amp;itool=pubmed_AbstractPlus&amp;term=%22Psaty+BM%22%5BAuthor%5D" TargetMode="External"/><Relationship Id="rId80" Type="http://schemas.openxmlformats.org/officeDocument/2006/relationships/oleObject" Target="embeddings/oleObject55.bin"/><Relationship Id="rId155" Type="http://schemas.openxmlformats.org/officeDocument/2006/relationships/image" Target="media/image2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E5AE57-8FFC-4D3A-9166-A9C4374FC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779</TotalTime>
  <Pages>61</Pages>
  <Words>15761</Words>
  <Characters>91776</Characters>
  <Application>Microsoft Office Word</Application>
  <DocSecurity>0</DocSecurity>
  <Lines>764</Lines>
  <Paragraphs>214</Paragraphs>
  <ScaleCrop>false</ScaleCrop>
  <HeadingPairs>
    <vt:vector size="2" baseType="variant">
      <vt:variant>
        <vt:lpstr>Title</vt:lpstr>
      </vt:variant>
      <vt:variant>
        <vt:i4>1</vt:i4>
      </vt:variant>
    </vt:vector>
  </HeadingPairs>
  <TitlesOfParts>
    <vt:vector size="1" baseType="lpstr">
      <vt:lpstr>Quantifying Discourse about Causal Inferences from Randomized Experiments and Observational Studies in Educational Research</vt:lpstr>
    </vt:vector>
  </TitlesOfParts>
  <Company/>
  <LinksUpToDate>false</LinksUpToDate>
  <CharactersWithSpaces>107323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Quantifying Discourse about Causal Inferences from Randomized Experiments and Observational Studies in Educational Research</dc:title>
  <dc:creator>kenfrank</dc:creator>
  <cp:lastModifiedBy>Frank, Kenneth</cp:lastModifiedBy>
  <cp:revision>5</cp:revision>
  <cp:lastPrinted>2013-04-18T21:56:00Z</cp:lastPrinted>
  <dcterms:created xsi:type="dcterms:W3CDTF">2013-08-04T19:34:00Z</dcterms:created>
  <dcterms:modified xsi:type="dcterms:W3CDTF">2014-12-02T02:50:00Z</dcterms:modified>
</cp:coreProperties>
</file>